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eastAsia="方正小标宋简体"/>
          <w:kern w:val="0"/>
          <w:sz w:val="36"/>
          <w:szCs w:val="36"/>
        </w:rPr>
      </w:pPr>
      <w:bookmarkStart w:id="0" w:name="_GoBack"/>
      <w:r>
        <w:rPr>
          <w:rFonts w:hint="eastAsia" w:eastAsia="方正小标宋简体"/>
          <w:kern w:val="0"/>
          <w:sz w:val="36"/>
          <w:szCs w:val="36"/>
        </w:rPr>
        <w:t>浙江工业大学基层党组织标准化建设达标验收考核表</w:t>
      </w:r>
    </w:p>
    <w:bookmarkEnd w:id="0"/>
    <w:tbl>
      <w:tblPr>
        <w:tblStyle w:val="2"/>
        <w:tblW w:w="11118" w:type="dxa"/>
        <w:jc w:val="center"/>
        <w:tblLayout w:type="fixed"/>
        <w:tblCellMar>
          <w:top w:w="0" w:type="dxa"/>
          <w:left w:w="108" w:type="dxa"/>
          <w:bottom w:w="0" w:type="dxa"/>
          <w:right w:w="108" w:type="dxa"/>
        </w:tblCellMar>
      </w:tblPr>
      <w:tblGrid>
        <w:gridCol w:w="1017"/>
        <w:gridCol w:w="1135"/>
        <w:gridCol w:w="4530"/>
        <w:gridCol w:w="2724"/>
        <w:gridCol w:w="774"/>
        <w:gridCol w:w="58"/>
        <w:gridCol w:w="880"/>
      </w:tblGrid>
      <w:tr>
        <w:tblPrEx>
          <w:tblCellMar>
            <w:top w:w="0" w:type="dxa"/>
            <w:left w:w="108" w:type="dxa"/>
            <w:bottom w:w="0" w:type="dxa"/>
            <w:right w:w="108" w:type="dxa"/>
          </w:tblCellMar>
        </w:tblPrEx>
        <w:trPr>
          <w:trHeight w:val="600" w:hRule="atLeast"/>
          <w:jc w:val="center"/>
        </w:trPr>
        <w:tc>
          <w:tcPr>
            <w:tcW w:w="11118" w:type="dxa"/>
            <w:gridSpan w:val="7"/>
            <w:tcBorders>
              <w:top w:val="nil"/>
              <w:left w:val="nil"/>
              <w:bottom w:val="nil"/>
              <w:right w:val="nil"/>
            </w:tcBorders>
            <w:noWrap/>
            <w:vAlign w:val="center"/>
          </w:tcPr>
          <w:p>
            <w:pPr>
              <w:spacing w:line="400" w:lineRule="exact"/>
              <w:jc w:val="center"/>
              <w:rPr>
                <w:rFonts w:hint="eastAsia" w:ascii="楷体_GB2312" w:eastAsia="楷体_GB2312"/>
                <w:kern w:val="0"/>
                <w:sz w:val="30"/>
                <w:szCs w:val="30"/>
              </w:rPr>
            </w:pPr>
            <w:r>
              <w:rPr>
                <w:rFonts w:hint="eastAsia" w:ascii="楷体_GB2312" w:eastAsia="楷体_GB2312"/>
                <w:kern w:val="0"/>
                <w:sz w:val="30"/>
                <w:szCs w:val="30"/>
              </w:rPr>
              <w:t>（党支部填写用）</w:t>
            </w:r>
          </w:p>
        </w:tc>
      </w:tr>
      <w:tr>
        <w:tblPrEx>
          <w:tblCellMar>
            <w:top w:w="0" w:type="dxa"/>
            <w:left w:w="108" w:type="dxa"/>
            <w:bottom w:w="0" w:type="dxa"/>
            <w:right w:w="108" w:type="dxa"/>
          </w:tblCellMar>
        </w:tblPrEx>
        <w:trPr>
          <w:trHeight w:val="810" w:hRule="atLeast"/>
          <w:jc w:val="center"/>
        </w:trPr>
        <w:tc>
          <w:tcPr>
            <w:tcW w:w="11118" w:type="dxa"/>
            <w:gridSpan w:val="7"/>
            <w:tcBorders>
              <w:top w:val="nil"/>
              <w:left w:val="nil"/>
              <w:bottom w:val="nil"/>
              <w:right w:val="nil"/>
            </w:tcBorders>
            <w:noWrap/>
            <w:vAlign w:val="center"/>
          </w:tcPr>
          <w:p>
            <w:pPr>
              <w:spacing w:line="400" w:lineRule="exact"/>
              <w:ind w:firstLine="700" w:firstLineChars="250"/>
              <w:rPr>
                <w:rFonts w:hint="default" w:ascii="楷体_GB2312" w:eastAsia="宋体"/>
                <w:kern w:val="0"/>
                <w:sz w:val="30"/>
                <w:szCs w:val="30"/>
                <w:u w:val="none"/>
                <w:lang w:val="en-US" w:eastAsia="zh-CN"/>
              </w:rPr>
            </w:pPr>
            <w:r>
              <w:rPr>
                <w:rFonts w:hint="eastAsia" w:ascii="宋体" w:hAnsi="宋体"/>
                <w:sz w:val="28"/>
                <w:szCs w:val="28"/>
              </w:rPr>
              <w:t>填报党支部：</w:t>
            </w:r>
            <w:r>
              <w:rPr>
                <w:rFonts w:hint="eastAsia" w:ascii="宋体" w:hAnsi="宋体"/>
                <w:sz w:val="28"/>
                <w:szCs w:val="28"/>
                <w:u w:val="single"/>
              </w:rPr>
              <w:t xml:space="preserve">  </w:t>
            </w:r>
            <w:r>
              <w:rPr>
                <w:rFonts w:hint="eastAsia" w:ascii="宋体" w:hAnsi="宋体"/>
                <w:sz w:val="28"/>
                <w:szCs w:val="28"/>
                <w:u w:val="single"/>
                <w:lang w:val="en-US" w:eastAsia="zh-CN"/>
              </w:rPr>
              <w:t>国际学院教工第X党支部</w:t>
            </w:r>
            <w:r>
              <w:rPr>
                <w:rFonts w:hint="eastAsia" w:ascii="宋体" w:hAnsi="宋体"/>
                <w:sz w:val="28"/>
                <w:szCs w:val="28"/>
                <w:u w:val="single"/>
              </w:rPr>
              <w:t xml:space="preserve">    </w:t>
            </w:r>
            <w:r>
              <w:rPr>
                <w:rFonts w:hint="eastAsia" w:ascii="宋体" w:hAnsi="宋体"/>
                <w:sz w:val="28"/>
                <w:szCs w:val="28"/>
              </w:rPr>
              <w:t xml:space="preserve">      负责人签名：</w:t>
            </w:r>
            <w:r>
              <w:rPr>
                <w:rFonts w:hint="eastAsia" w:ascii="宋体" w:hAnsi="宋体"/>
                <w:sz w:val="28"/>
                <w:szCs w:val="28"/>
                <w:u w:val="single"/>
              </w:rPr>
              <w:t xml:space="preserve">          </w:t>
            </w:r>
            <w:r>
              <w:rPr>
                <w:rFonts w:hint="eastAsia" w:ascii="宋体" w:hAnsi="宋体"/>
                <w:sz w:val="28"/>
                <w:szCs w:val="28"/>
                <w:u w:val="none"/>
                <w:lang w:val="en-US" w:eastAsia="zh-CN"/>
              </w:rPr>
              <w:t xml:space="preserve">  </w:t>
            </w:r>
          </w:p>
        </w:tc>
      </w:tr>
      <w:tr>
        <w:tblPrEx>
          <w:tblCellMar>
            <w:top w:w="0" w:type="dxa"/>
            <w:left w:w="108" w:type="dxa"/>
            <w:bottom w:w="0" w:type="dxa"/>
            <w:right w:w="108" w:type="dxa"/>
          </w:tblCellMar>
        </w:tblPrEx>
        <w:trPr>
          <w:trHeight w:val="605" w:hRule="atLeast"/>
          <w:jc w:val="center"/>
        </w:trPr>
        <w:tc>
          <w:tcPr>
            <w:tcW w:w="1017" w:type="dxa"/>
            <w:tcBorders>
              <w:top w:val="single" w:color="auto" w:sz="8" w:space="0"/>
              <w:left w:val="single" w:color="auto" w:sz="8" w:space="0"/>
              <w:bottom w:val="single" w:color="auto" w:sz="4" w:space="0"/>
              <w:right w:val="single" w:color="auto" w:sz="4" w:space="0"/>
            </w:tcBorders>
            <w:noWrap/>
            <w:vAlign w:val="center"/>
          </w:tcPr>
          <w:p>
            <w:pPr>
              <w:widowControl/>
              <w:spacing w:line="300" w:lineRule="exact"/>
              <w:jc w:val="center"/>
              <w:rPr>
                <w:kern w:val="0"/>
                <w:sz w:val="28"/>
                <w:szCs w:val="28"/>
              </w:rPr>
            </w:pPr>
            <w:r>
              <w:rPr>
                <w:rFonts w:hint="eastAsia" w:eastAsia="黑体"/>
                <w:kern w:val="0"/>
                <w:sz w:val="28"/>
                <w:szCs w:val="28"/>
              </w:rPr>
              <w:t>一级指标</w:t>
            </w:r>
          </w:p>
        </w:tc>
        <w:tc>
          <w:tcPr>
            <w:tcW w:w="1135" w:type="dxa"/>
            <w:tcBorders>
              <w:top w:val="single" w:color="auto" w:sz="8" w:space="0"/>
              <w:left w:val="nil"/>
              <w:bottom w:val="single" w:color="auto" w:sz="4" w:space="0"/>
              <w:right w:val="single" w:color="auto" w:sz="4" w:space="0"/>
            </w:tcBorders>
            <w:noWrap w:val="0"/>
            <w:vAlign w:val="center"/>
          </w:tcPr>
          <w:p>
            <w:pPr>
              <w:widowControl/>
              <w:spacing w:line="300" w:lineRule="exact"/>
              <w:jc w:val="center"/>
              <w:rPr>
                <w:kern w:val="0"/>
                <w:sz w:val="28"/>
                <w:szCs w:val="28"/>
              </w:rPr>
            </w:pPr>
            <w:r>
              <w:rPr>
                <w:rFonts w:hint="eastAsia" w:eastAsia="黑体"/>
                <w:kern w:val="0"/>
                <w:sz w:val="28"/>
                <w:szCs w:val="28"/>
              </w:rPr>
              <w:t>二级指标</w:t>
            </w:r>
          </w:p>
        </w:tc>
        <w:tc>
          <w:tcPr>
            <w:tcW w:w="4530" w:type="dxa"/>
            <w:tcBorders>
              <w:top w:val="single" w:color="auto" w:sz="8" w:space="0"/>
              <w:left w:val="nil"/>
              <w:bottom w:val="single" w:color="auto" w:sz="4" w:space="0"/>
              <w:right w:val="single" w:color="auto" w:sz="4" w:space="0"/>
            </w:tcBorders>
            <w:noWrap/>
            <w:vAlign w:val="center"/>
          </w:tcPr>
          <w:p>
            <w:pPr>
              <w:widowControl/>
              <w:spacing w:line="300" w:lineRule="exact"/>
              <w:jc w:val="center"/>
              <w:rPr>
                <w:rFonts w:eastAsia="黑体"/>
                <w:kern w:val="0"/>
                <w:sz w:val="28"/>
                <w:szCs w:val="28"/>
              </w:rPr>
            </w:pPr>
            <w:r>
              <w:rPr>
                <w:rFonts w:hint="eastAsia" w:eastAsia="黑体"/>
                <w:kern w:val="0"/>
                <w:sz w:val="28"/>
                <w:szCs w:val="28"/>
              </w:rPr>
              <w:t>建设内容及分值</w:t>
            </w:r>
          </w:p>
        </w:tc>
        <w:tc>
          <w:tcPr>
            <w:tcW w:w="2724" w:type="dxa"/>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jc w:val="center"/>
              <w:rPr>
                <w:rFonts w:eastAsia="黑体"/>
                <w:kern w:val="0"/>
                <w:sz w:val="28"/>
                <w:szCs w:val="28"/>
              </w:rPr>
            </w:pPr>
            <w:r>
              <w:rPr>
                <w:rFonts w:hint="eastAsia" w:eastAsia="黑体"/>
                <w:kern w:val="0"/>
                <w:sz w:val="28"/>
                <w:szCs w:val="28"/>
              </w:rPr>
              <w:t>具体举措</w:t>
            </w:r>
          </w:p>
        </w:tc>
        <w:tc>
          <w:tcPr>
            <w:tcW w:w="774" w:type="dxa"/>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jc w:val="center"/>
              <w:rPr>
                <w:rFonts w:eastAsia="黑体"/>
                <w:kern w:val="0"/>
                <w:sz w:val="28"/>
                <w:szCs w:val="28"/>
              </w:rPr>
            </w:pPr>
            <w:r>
              <w:rPr>
                <w:rFonts w:hint="eastAsia" w:eastAsia="黑体"/>
                <w:kern w:val="0"/>
                <w:sz w:val="28"/>
                <w:szCs w:val="28"/>
              </w:rPr>
              <w:t>自评分</w:t>
            </w:r>
          </w:p>
        </w:tc>
        <w:tc>
          <w:tcPr>
            <w:tcW w:w="938" w:type="dxa"/>
            <w:gridSpan w:val="2"/>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center"/>
              <w:rPr>
                <w:rFonts w:eastAsia="黑体"/>
                <w:kern w:val="0"/>
                <w:sz w:val="28"/>
                <w:szCs w:val="28"/>
              </w:rPr>
            </w:pPr>
            <w:r>
              <w:rPr>
                <w:rFonts w:hint="eastAsia" w:eastAsia="黑体"/>
                <w:kern w:val="0"/>
                <w:sz w:val="28"/>
                <w:szCs w:val="28"/>
              </w:rPr>
              <w:t>上级组织评分</w:t>
            </w:r>
          </w:p>
        </w:tc>
      </w:tr>
      <w:tr>
        <w:tblPrEx>
          <w:tblCellMar>
            <w:top w:w="0" w:type="dxa"/>
            <w:left w:w="108" w:type="dxa"/>
            <w:bottom w:w="0" w:type="dxa"/>
            <w:right w:w="108" w:type="dxa"/>
          </w:tblCellMar>
        </w:tblPrEx>
        <w:trPr>
          <w:trHeight w:val="1380" w:hRule="atLeast"/>
          <w:jc w:val="center"/>
        </w:trPr>
        <w:tc>
          <w:tcPr>
            <w:tcW w:w="1017" w:type="dxa"/>
            <w:vMerge w:val="restart"/>
            <w:tcBorders>
              <w:top w:val="nil"/>
              <w:left w:val="single" w:color="auto" w:sz="8" w:space="0"/>
              <w:right w:val="single" w:color="auto" w:sz="4" w:space="0"/>
            </w:tcBorders>
            <w:noWrap w:val="0"/>
            <w:vAlign w:val="center"/>
          </w:tcPr>
          <w:p>
            <w:pPr>
              <w:widowControl/>
              <w:rPr>
                <w:rFonts w:hint="eastAsia" w:eastAsia="楷体"/>
                <w:kern w:val="0"/>
                <w:sz w:val="24"/>
                <w:szCs w:val="24"/>
              </w:rPr>
            </w:pPr>
            <w:r>
              <w:rPr>
                <w:rFonts w:hint="eastAsia" w:eastAsia="楷体"/>
                <w:kern w:val="0"/>
                <w:sz w:val="24"/>
                <w:szCs w:val="24"/>
              </w:rPr>
              <w:t>政治建设</w:t>
            </w:r>
          </w:p>
          <w:p>
            <w:pPr>
              <w:widowControl/>
              <w:jc w:val="center"/>
              <w:rPr>
                <w:rFonts w:eastAsia="楷体"/>
                <w:kern w:val="0"/>
                <w:sz w:val="24"/>
                <w:szCs w:val="24"/>
              </w:rPr>
            </w:pPr>
            <w:r>
              <w:rPr>
                <w:rFonts w:hint="eastAsia" w:eastAsia="楷体"/>
                <w:kern w:val="0"/>
                <w:sz w:val="24"/>
                <w:szCs w:val="24"/>
              </w:rPr>
              <w:t>（20分）</w:t>
            </w:r>
          </w:p>
        </w:tc>
        <w:tc>
          <w:tcPr>
            <w:tcW w:w="1135" w:type="dxa"/>
            <w:vMerge w:val="restart"/>
            <w:tcBorders>
              <w:top w:val="nil"/>
              <w:left w:val="nil"/>
              <w:right w:val="single" w:color="auto" w:sz="4" w:space="0"/>
            </w:tcBorders>
            <w:noWrap w:val="0"/>
            <w:vAlign w:val="center"/>
          </w:tcPr>
          <w:p>
            <w:pPr>
              <w:widowControl/>
              <w:jc w:val="left"/>
              <w:rPr>
                <w:rFonts w:eastAsia="仿宋_GB2312"/>
                <w:kern w:val="0"/>
                <w:sz w:val="24"/>
                <w:szCs w:val="24"/>
              </w:rPr>
            </w:pPr>
            <w:r>
              <w:rPr>
                <w:rFonts w:hint="eastAsia" w:eastAsia="仿宋_GB2312"/>
                <w:kern w:val="0"/>
                <w:sz w:val="24"/>
                <w:szCs w:val="24"/>
              </w:rPr>
              <w:t>坚决做到“两个维护”（5分）</w:t>
            </w:r>
          </w:p>
        </w:tc>
        <w:tc>
          <w:tcPr>
            <w:tcW w:w="4530" w:type="dxa"/>
            <w:tcBorders>
              <w:top w:val="nil"/>
              <w:left w:val="nil"/>
              <w:bottom w:val="single" w:color="auto" w:sz="4" w:space="0"/>
              <w:right w:val="single" w:color="auto" w:sz="8" w:space="0"/>
            </w:tcBorders>
            <w:noWrap w:val="0"/>
            <w:vAlign w:val="center"/>
          </w:tcPr>
          <w:p>
            <w:pPr>
              <w:jc w:val="left"/>
              <w:rPr>
                <w:rFonts w:ascii="宋体" w:hAnsi="宋体"/>
                <w:kern w:val="0"/>
                <w:szCs w:val="21"/>
              </w:rPr>
            </w:pPr>
            <w:r>
              <w:rPr>
                <w:rFonts w:hint="eastAsia" w:ascii="宋体" w:hAnsi="宋体"/>
                <w:kern w:val="0"/>
                <w:szCs w:val="21"/>
              </w:rPr>
              <w:t>全面贯彻党的基本理论、基本路线、基本方略和上级决策部署，及时传达学习上级重要会议、文件精神及本支部的决议，教育引导支部党员、干部师生树牢“四个意识”、坚定“四个自信”，坚决做到“两个维护”（3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11"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认真落实立德树人根本任务，培养德智体美劳全面发展的社会主义建设者和接班人（2分）。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799"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restart"/>
            <w:tcBorders>
              <w:top w:val="nil"/>
              <w:left w:val="nil"/>
              <w:right w:val="single" w:color="auto" w:sz="4" w:space="0"/>
            </w:tcBorders>
            <w:noWrap w:val="0"/>
            <w:vAlign w:val="center"/>
          </w:tcPr>
          <w:p>
            <w:pPr>
              <w:widowControl/>
              <w:jc w:val="left"/>
              <w:rPr>
                <w:rFonts w:hint="eastAsia" w:eastAsia="仿宋_GB2312"/>
                <w:kern w:val="0"/>
                <w:sz w:val="24"/>
                <w:szCs w:val="24"/>
              </w:rPr>
            </w:pPr>
            <w:r>
              <w:rPr>
                <w:rFonts w:hint="eastAsia" w:eastAsia="仿宋_GB2312"/>
                <w:kern w:val="0"/>
                <w:sz w:val="24"/>
                <w:szCs w:val="24"/>
              </w:rPr>
              <w:t>履行政治责任</w:t>
            </w:r>
          </w:p>
          <w:p>
            <w:pPr>
              <w:widowControl/>
              <w:jc w:val="left"/>
              <w:rPr>
                <w:rFonts w:eastAsia="仿宋_GB2312"/>
                <w:kern w:val="0"/>
                <w:sz w:val="24"/>
                <w:szCs w:val="24"/>
              </w:rPr>
            </w:pPr>
            <w:r>
              <w:rPr>
                <w:rFonts w:hint="eastAsia" w:eastAsia="仿宋_GB2312"/>
                <w:kern w:val="0"/>
                <w:sz w:val="24"/>
                <w:szCs w:val="24"/>
              </w:rPr>
              <w:t>（6分）</w:t>
            </w:r>
          </w:p>
        </w:tc>
        <w:tc>
          <w:tcPr>
            <w:tcW w:w="4530" w:type="dxa"/>
            <w:tcBorders>
              <w:top w:val="nil"/>
              <w:left w:val="nil"/>
              <w:bottom w:val="single" w:color="auto" w:sz="4" w:space="0"/>
              <w:right w:val="single" w:color="auto" w:sz="8" w:space="0"/>
            </w:tcBorders>
            <w:noWrap w:val="0"/>
            <w:vAlign w:val="center"/>
          </w:tcPr>
          <w:p>
            <w:pPr>
              <w:jc w:val="left"/>
              <w:rPr>
                <w:rFonts w:ascii="宋体" w:hAnsi="宋体"/>
                <w:kern w:val="0"/>
                <w:szCs w:val="21"/>
              </w:rPr>
            </w:pPr>
            <w:r>
              <w:rPr>
                <w:rFonts w:hint="eastAsia" w:ascii="宋体" w:hAnsi="宋体"/>
                <w:kern w:val="0"/>
                <w:szCs w:val="21"/>
              </w:rPr>
              <w:t>全面落实教工党支部负责人参与所在同级单位（部门）发展规划、经费使用、津贴分配等重要事项决策制度（2分）。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10"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并由党支部对所在同级单位（部门）教职工参与岗位聘任、职称评定、评优评先、干部推荐等事先作出思想政治鉴定（2分）。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40"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推动和保障学生党支部参与涉及学生重大权益事项的决策，保证监督党的教育方针贯彻落实（2分）。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29"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restart"/>
            <w:tcBorders>
              <w:top w:val="nil"/>
              <w:left w:val="nil"/>
              <w:right w:val="single" w:color="auto" w:sz="4" w:space="0"/>
            </w:tcBorders>
            <w:noWrap w:val="0"/>
            <w:vAlign w:val="center"/>
          </w:tcPr>
          <w:p>
            <w:pPr>
              <w:widowControl/>
              <w:jc w:val="left"/>
              <w:rPr>
                <w:rFonts w:eastAsia="仿宋_GB2312"/>
                <w:kern w:val="0"/>
                <w:sz w:val="24"/>
                <w:szCs w:val="24"/>
              </w:rPr>
            </w:pPr>
            <w:r>
              <w:rPr>
                <w:rFonts w:hint="eastAsia" w:eastAsia="仿宋_GB2312"/>
                <w:kern w:val="0"/>
                <w:sz w:val="24"/>
                <w:szCs w:val="24"/>
              </w:rPr>
              <w:t>严肃党内政治生活（9分）</w:t>
            </w:r>
          </w:p>
        </w:tc>
        <w:tc>
          <w:tcPr>
            <w:tcW w:w="4530" w:type="dxa"/>
            <w:tcBorders>
              <w:top w:val="nil"/>
              <w:left w:val="nil"/>
              <w:bottom w:val="single" w:color="auto" w:sz="4" w:space="0"/>
              <w:right w:val="single" w:color="auto" w:sz="8" w:space="0"/>
            </w:tcBorders>
            <w:noWrap w:val="0"/>
            <w:vAlign w:val="center"/>
          </w:tcPr>
          <w:p>
            <w:pPr>
              <w:jc w:val="left"/>
              <w:rPr>
                <w:rFonts w:ascii="宋体" w:hAnsi="宋体"/>
                <w:kern w:val="0"/>
                <w:szCs w:val="21"/>
              </w:rPr>
            </w:pPr>
            <w:r>
              <w:rPr>
                <w:rFonts w:hint="eastAsia" w:ascii="宋体" w:hAnsi="宋体"/>
                <w:kern w:val="0"/>
                <w:szCs w:val="21"/>
              </w:rPr>
              <w:t>严格执行新形势下党内政治生活若干准则（2分）。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30"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严格落实</w:t>
            </w:r>
            <w:r>
              <w:rPr>
                <w:rFonts w:ascii="宋体" w:hAnsi="宋体"/>
                <w:kern w:val="0"/>
                <w:szCs w:val="21"/>
              </w:rPr>
              <w:t>“</w:t>
            </w:r>
            <w:r>
              <w:rPr>
                <w:rFonts w:hint="eastAsia" w:ascii="宋体" w:hAnsi="宋体"/>
                <w:kern w:val="0"/>
                <w:szCs w:val="21"/>
              </w:rPr>
              <w:t>三会一课</w:t>
            </w:r>
            <w:r>
              <w:rPr>
                <w:rFonts w:ascii="宋体" w:hAnsi="宋体"/>
                <w:kern w:val="0"/>
                <w:szCs w:val="21"/>
              </w:rPr>
              <w:t>”</w:t>
            </w:r>
            <w:r>
              <w:rPr>
                <w:rFonts w:hint="eastAsia" w:ascii="宋体" w:hAnsi="宋体"/>
                <w:kern w:val="0"/>
                <w:szCs w:val="21"/>
              </w:rPr>
              <w:t>制度（1分）。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300"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每月相对固定</w:t>
            </w:r>
            <w:r>
              <w:rPr>
                <w:rFonts w:ascii="宋体" w:hAnsi="宋体"/>
                <w:kern w:val="0"/>
                <w:szCs w:val="21"/>
              </w:rPr>
              <w:t>1</w:t>
            </w:r>
            <w:r>
              <w:rPr>
                <w:rFonts w:hint="eastAsia" w:ascii="宋体" w:hAnsi="宋体"/>
                <w:kern w:val="0"/>
                <w:szCs w:val="21"/>
              </w:rPr>
              <w:t>天开展主题党日（1分）。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85"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党员按期交纳党费（1分）。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85"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每年召开组织生活会、开展民主评议党员等（1分）。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62"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经常开展谈心谈话（1分）。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45"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党支部书记每年至少讲</w:t>
            </w:r>
            <w:r>
              <w:rPr>
                <w:rFonts w:ascii="宋体" w:hAnsi="宋体"/>
                <w:kern w:val="0"/>
                <w:szCs w:val="21"/>
              </w:rPr>
              <w:t>1</w:t>
            </w:r>
            <w:r>
              <w:rPr>
                <w:rFonts w:hint="eastAsia" w:ascii="宋体" w:hAnsi="宋体"/>
                <w:kern w:val="0"/>
                <w:szCs w:val="21"/>
              </w:rPr>
              <w:t>次党课（1分）。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85" w:hRule="atLeast"/>
          <w:jc w:val="center"/>
        </w:trPr>
        <w:tc>
          <w:tcPr>
            <w:tcW w:w="1017" w:type="dxa"/>
            <w:vMerge w:val="continue"/>
            <w:tcBorders>
              <w:left w:val="single" w:color="auto" w:sz="8" w:space="0"/>
              <w:bottom w:val="single" w:color="auto" w:sz="4" w:space="0"/>
              <w:right w:val="single" w:color="auto" w:sz="4" w:space="0"/>
            </w:tcBorders>
            <w:noWrap w:val="0"/>
            <w:vAlign w:val="center"/>
          </w:tcPr>
          <w:p>
            <w:pPr>
              <w:widowControl/>
              <w:jc w:val="left"/>
              <w:rPr>
                <w:kern w:val="0"/>
                <w:sz w:val="24"/>
                <w:szCs w:val="24"/>
              </w:rPr>
            </w:pPr>
          </w:p>
        </w:tc>
        <w:tc>
          <w:tcPr>
            <w:tcW w:w="1135" w:type="dxa"/>
            <w:vMerge w:val="continue"/>
            <w:tcBorders>
              <w:left w:val="nil"/>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党员领导干部按规定参加双重组织生活（1分）。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21" w:hRule="atLeast"/>
          <w:jc w:val="center"/>
        </w:trPr>
        <w:tc>
          <w:tcPr>
            <w:tcW w:w="1017" w:type="dxa"/>
            <w:vMerge w:val="restart"/>
            <w:tcBorders>
              <w:top w:val="nil"/>
              <w:left w:val="single" w:color="auto" w:sz="8" w:space="0"/>
              <w:right w:val="single" w:color="auto" w:sz="4" w:space="0"/>
            </w:tcBorders>
            <w:noWrap w:val="0"/>
            <w:vAlign w:val="center"/>
          </w:tcPr>
          <w:p>
            <w:pPr>
              <w:widowControl/>
              <w:rPr>
                <w:rFonts w:hint="eastAsia" w:eastAsia="楷体"/>
                <w:kern w:val="0"/>
                <w:sz w:val="24"/>
                <w:szCs w:val="24"/>
              </w:rPr>
            </w:pPr>
            <w:r>
              <w:rPr>
                <w:rFonts w:hint="eastAsia" w:eastAsia="楷体"/>
                <w:kern w:val="0"/>
                <w:sz w:val="24"/>
                <w:szCs w:val="24"/>
              </w:rPr>
              <w:t>思想建设</w:t>
            </w:r>
          </w:p>
          <w:p>
            <w:pPr>
              <w:widowControl/>
              <w:jc w:val="center"/>
              <w:rPr>
                <w:rFonts w:eastAsia="楷体"/>
                <w:kern w:val="0"/>
                <w:sz w:val="24"/>
                <w:szCs w:val="24"/>
              </w:rPr>
            </w:pPr>
            <w:r>
              <w:rPr>
                <w:rFonts w:hint="eastAsia" w:eastAsia="楷体"/>
                <w:kern w:val="0"/>
                <w:sz w:val="24"/>
                <w:szCs w:val="24"/>
              </w:rPr>
              <w:t>（20分）</w:t>
            </w:r>
          </w:p>
        </w:tc>
        <w:tc>
          <w:tcPr>
            <w:tcW w:w="1135" w:type="dxa"/>
            <w:vMerge w:val="restart"/>
            <w:tcBorders>
              <w:top w:val="nil"/>
              <w:left w:val="nil"/>
              <w:right w:val="single" w:color="auto" w:sz="4" w:space="0"/>
            </w:tcBorders>
            <w:noWrap w:val="0"/>
            <w:vAlign w:val="center"/>
          </w:tcPr>
          <w:p>
            <w:pPr>
              <w:widowControl/>
              <w:jc w:val="left"/>
              <w:rPr>
                <w:rFonts w:eastAsia="仿宋_GB2312"/>
                <w:kern w:val="0"/>
                <w:sz w:val="24"/>
                <w:szCs w:val="24"/>
              </w:rPr>
            </w:pPr>
            <w:r>
              <w:rPr>
                <w:rFonts w:hint="eastAsia" w:eastAsia="仿宋_GB2312"/>
                <w:kern w:val="0"/>
                <w:sz w:val="24"/>
                <w:szCs w:val="24"/>
              </w:rPr>
              <w:t>加强理想信念教育（12分）</w:t>
            </w:r>
          </w:p>
        </w:tc>
        <w:tc>
          <w:tcPr>
            <w:tcW w:w="4530" w:type="dxa"/>
            <w:tcBorders>
              <w:top w:val="nil"/>
              <w:left w:val="nil"/>
              <w:bottom w:val="single" w:color="auto" w:sz="4" w:space="0"/>
              <w:right w:val="single" w:color="auto" w:sz="8" w:space="0"/>
            </w:tcBorders>
            <w:noWrap w:val="0"/>
            <w:vAlign w:val="center"/>
          </w:tcPr>
          <w:p>
            <w:pPr>
              <w:jc w:val="left"/>
              <w:rPr>
                <w:rFonts w:ascii="宋体" w:hAnsi="宋体"/>
                <w:kern w:val="0"/>
                <w:szCs w:val="21"/>
              </w:rPr>
            </w:pPr>
            <w:r>
              <w:rPr>
                <w:rFonts w:hint="eastAsia" w:ascii="宋体" w:hAnsi="宋体"/>
                <w:kern w:val="0"/>
                <w:szCs w:val="21"/>
              </w:rPr>
              <w:t>组织开展习近平新时代中国特色社会主义思想和重要会议精神学习教育（2分）。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85"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按要求开展党内主题教育活动（2分）。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深入推进“两学一做”学习教育常态化制度化（2分）。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85"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引领师生始终听党话、跟党走（2分）。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764"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把社会主义核心价值观培育践行贯穿于师生专业课教学、社会实践活动、创新创业教育、志愿服务等全过程（2分）。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68"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经常开展党史国史、革命传统、形势任务的学习教育，“走出去”到各类红色基地开展现场体验教育，增强思想引领和价值观塑造的实效性（2分）。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55"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restart"/>
            <w:tcBorders>
              <w:top w:val="single" w:color="auto" w:sz="4" w:space="0"/>
              <w:left w:val="nil"/>
              <w:right w:val="single" w:color="auto" w:sz="4" w:space="0"/>
            </w:tcBorders>
            <w:noWrap/>
            <w:vAlign w:val="center"/>
          </w:tcPr>
          <w:p>
            <w:pPr>
              <w:widowControl/>
              <w:jc w:val="left"/>
              <w:rPr>
                <w:rFonts w:eastAsia="仿宋_GB2312"/>
                <w:kern w:val="0"/>
                <w:sz w:val="24"/>
                <w:szCs w:val="24"/>
              </w:rPr>
            </w:pPr>
            <w:r>
              <w:rPr>
                <w:rFonts w:hint="eastAsia" w:eastAsia="仿宋_GB2312"/>
                <w:kern w:val="0"/>
                <w:sz w:val="24"/>
                <w:szCs w:val="24"/>
              </w:rPr>
              <w:t>落实意识形态工作责任制（8分）</w:t>
            </w:r>
          </w:p>
        </w:tc>
        <w:tc>
          <w:tcPr>
            <w:tcW w:w="4530" w:type="dxa"/>
            <w:tcBorders>
              <w:top w:val="single" w:color="auto" w:sz="4" w:space="0"/>
              <w:left w:val="nil"/>
              <w:bottom w:val="single" w:color="auto" w:sz="4" w:space="0"/>
              <w:right w:val="single" w:color="auto" w:sz="8" w:space="0"/>
            </w:tcBorders>
            <w:noWrap w:val="0"/>
            <w:vAlign w:val="center"/>
          </w:tcPr>
          <w:p>
            <w:pPr>
              <w:jc w:val="left"/>
              <w:rPr>
                <w:rFonts w:ascii="宋体" w:hAnsi="宋体"/>
                <w:kern w:val="0"/>
                <w:szCs w:val="21"/>
              </w:rPr>
            </w:pPr>
            <w:r>
              <w:rPr>
                <w:rFonts w:hint="eastAsia" w:ascii="宋体" w:hAnsi="宋体"/>
                <w:kern w:val="0"/>
                <w:szCs w:val="21"/>
              </w:rPr>
              <w:t>巩固马克思主义在高校意识形态领域的指导地位（2分）。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47"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top w:val="single" w:color="auto" w:sz="4" w:space="0"/>
              <w:left w:val="nil"/>
              <w:right w:val="single" w:color="auto" w:sz="4" w:space="0"/>
            </w:tcBorders>
            <w:noWrap/>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关心和及时把握师生思想动态，及时回应师生重大关切，防止各类错误思想文化侵袭（2分）。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301"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建立健全预警机制（2分）。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925"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ign w:val="center"/>
          </w:tcPr>
          <w:p>
            <w:pPr>
              <w:widowControl/>
              <w:jc w:val="left"/>
              <w:rPr>
                <w:rFonts w:hint="eastAsia" w:eastAsia="仿宋_GB2312"/>
                <w:kern w:val="0"/>
                <w:sz w:val="24"/>
                <w:szCs w:val="24"/>
              </w:rPr>
            </w:pPr>
          </w:p>
        </w:tc>
        <w:tc>
          <w:tcPr>
            <w:tcW w:w="4530" w:type="dxa"/>
            <w:tcBorders>
              <w:top w:val="single" w:color="auto" w:sz="4" w:space="0"/>
              <w:left w:val="nil"/>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积极教育引导师生在课堂教学、论坛讲座等活动中坚持正确的政治立场、政治方向、政治原则、政治道路（2分）。</w:t>
            </w:r>
          </w:p>
        </w:tc>
        <w:tc>
          <w:tcPr>
            <w:tcW w:w="2724" w:type="dxa"/>
            <w:tcBorders>
              <w:top w:val="single" w:color="auto" w:sz="4" w:space="0"/>
              <w:right w:val="single" w:color="auto" w:sz="4" w:space="0"/>
            </w:tcBorders>
            <w:noWrap w:val="0"/>
            <w:vAlign w:val="top"/>
          </w:tcPr>
          <w:p>
            <w:pPr>
              <w:widowControl/>
              <w:jc w:val="left"/>
              <w:rPr>
                <w:rFonts w:ascii="宋体" w:hAnsi="宋体"/>
                <w:kern w:val="0"/>
                <w:szCs w:val="21"/>
              </w:rPr>
            </w:pPr>
          </w:p>
        </w:tc>
        <w:tc>
          <w:tcPr>
            <w:tcW w:w="774" w:type="dxa"/>
            <w:tcBorders>
              <w:top w:val="single" w:color="auto" w:sz="4" w:space="0"/>
              <w:right w:val="single" w:color="auto" w:sz="4" w:space="0"/>
            </w:tcBorders>
            <w:noWrap w:val="0"/>
            <w:vAlign w:val="top"/>
          </w:tcPr>
          <w:p>
            <w:pPr>
              <w:widowControl/>
              <w:jc w:val="left"/>
              <w:rPr>
                <w:rFonts w:ascii="宋体" w:hAnsi="宋体"/>
                <w:kern w:val="0"/>
                <w:szCs w:val="21"/>
              </w:rPr>
            </w:pPr>
          </w:p>
        </w:tc>
        <w:tc>
          <w:tcPr>
            <w:tcW w:w="938" w:type="dxa"/>
            <w:gridSpan w:val="2"/>
            <w:tcBorders>
              <w:top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1290" w:hRule="atLeast"/>
          <w:jc w:val="center"/>
        </w:trPr>
        <w:tc>
          <w:tcPr>
            <w:tcW w:w="1017" w:type="dxa"/>
            <w:vMerge w:val="restart"/>
            <w:tcBorders>
              <w:top w:val="single" w:color="auto" w:sz="4" w:space="0"/>
              <w:left w:val="single" w:color="auto" w:sz="8" w:space="0"/>
              <w:right w:val="single" w:color="auto" w:sz="4" w:space="0"/>
            </w:tcBorders>
            <w:noWrap w:val="0"/>
            <w:vAlign w:val="center"/>
          </w:tcPr>
          <w:p>
            <w:pPr>
              <w:widowControl/>
              <w:rPr>
                <w:rFonts w:hint="eastAsia" w:eastAsia="楷体"/>
                <w:kern w:val="0"/>
                <w:sz w:val="24"/>
                <w:szCs w:val="24"/>
              </w:rPr>
            </w:pPr>
            <w:r>
              <w:rPr>
                <w:rFonts w:hint="eastAsia" w:eastAsia="楷体"/>
                <w:kern w:val="0"/>
                <w:sz w:val="24"/>
                <w:szCs w:val="24"/>
              </w:rPr>
              <w:t>组织建设</w:t>
            </w:r>
          </w:p>
          <w:p>
            <w:pPr>
              <w:widowControl/>
              <w:jc w:val="center"/>
              <w:rPr>
                <w:rFonts w:eastAsia="楷体"/>
                <w:kern w:val="0"/>
                <w:sz w:val="24"/>
                <w:szCs w:val="24"/>
              </w:rPr>
            </w:pPr>
            <w:r>
              <w:rPr>
                <w:rFonts w:hint="eastAsia" w:eastAsia="楷体"/>
                <w:kern w:val="0"/>
                <w:sz w:val="24"/>
                <w:szCs w:val="24"/>
              </w:rPr>
              <w:t>（20分）</w:t>
            </w:r>
          </w:p>
        </w:tc>
        <w:tc>
          <w:tcPr>
            <w:tcW w:w="1135" w:type="dxa"/>
            <w:vMerge w:val="restart"/>
            <w:tcBorders>
              <w:top w:val="single" w:color="auto" w:sz="4" w:space="0"/>
              <w:left w:val="nil"/>
              <w:right w:val="single" w:color="auto" w:sz="4" w:space="0"/>
            </w:tcBorders>
            <w:noWrap w:val="0"/>
            <w:vAlign w:val="center"/>
          </w:tcPr>
          <w:p>
            <w:pPr>
              <w:widowControl/>
              <w:jc w:val="left"/>
              <w:rPr>
                <w:rFonts w:eastAsia="仿宋_GB2312"/>
                <w:kern w:val="0"/>
                <w:sz w:val="24"/>
                <w:szCs w:val="24"/>
              </w:rPr>
            </w:pPr>
            <w:r>
              <w:rPr>
                <w:kern w:val="0"/>
                <w:sz w:val="24"/>
                <w:szCs w:val="24"/>
              </w:rPr>
              <w:t xml:space="preserve"> </w:t>
            </w:r>
            <w:r>
              <w:rPr>
                <w:rFonts w:hint="eastAsia" w:eastAsia="仿宋_GB2312"/>
                <w:kern w:val="0"/>
                <w:sz w:val="24"/>
                <w:szCs w:val="24"/>
              </w:rPr>
              <w:t>规范党支部设置和换届工作（7分）</w:t>
            </w:r>
          </w:p>
        </w:tc>
        <w:tc>
          <w:tcPr>
            <w:tcW w:w="4530" w:type="dxa"/>
            <w:tcBorders>
              <w:top w:val="single" w:color="auto" w:sz="4" w:space="0"/>
              <w:left w:val="nil"/>
              <w:bottom w:val="single" w:color="auto" w:sz="4" w:space="0"/>
              <w:right w:val="single" w:color="auto" w:sz="8" w:space="0"/>
            </w:tcBorders>
            <w:noWrap w:val="0"/>
            <w:vAlign w:val="center"/>
          </w:tcPr>
          <w:p>
            <w:pPr>
              <w:jc w:val="left"/>
              <w:rPr>
                <w:rFonts w:ascii="宋体" w:hAnsi="宋体"/>
                <w:kern w:val="0"/>
                <w:szCs w:val="21"/>
              </w:rPr>
            </w:pPr>
            <w:r>
              <w:rPr>
                <w:rFonts w:hint="eastAsia" w:ascii="宋体" w:hAnsi="宋体"/>
                <w:kern w:val="0"/>
                <w:szCs w:val="21"/>
              </w:rPr>
              <w:t>落实教工党支部设置在教学科研、管理服务等一线实体单位，学生党支部一般按专业纵向设置等要求，积极探索在创新平台、新兴学科交叉组织、重大项目平台，以及书院、学生社区、学生社团等领域组建党支部（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46"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right w:val="single" w:color="auto" w:sz="4" w:space="0"/>
            </w:tcBorders>
            <w:noWrap w:val="0"/>
            <w:vAlign w:val="center"/>
          </w:tcPr>
          <w:p>
            <w:pPr>
              <w:widowControl/>
              <w:jc w:val="left"/>
              <w:rPr>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支部党员人数一般不超过</w:t>
            </w:r>
            <w:r>
              <w:rPr>
                <w:rFonts w:ascii="宋体" w:hAnsi="宋体"/>
                <w:kern w:val="0"/>
                <w:szCs w:val="21"/>
              </w:rPr>
              <w:t>50</w:t>
            </w:r>
            <w:r>
              <w:rPr>
                <w:rFonts w:hint="eastAsia" w:ascii="宋体" w:hAnsi="宋体"/>
                <w:kern w:val="0"/>
                <w:szCs w:val="21"/>
              </w:rPr>
              <w:t>人（2分）。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330"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right w:val="single" w:color="auto" w:sz="4" w:space="0"/>
            </w:tcBorders>
            <w:noWrap w:val="0"/>
            <w:vAlign w:val="center"/>
          </w:tcPr>
          <w:p>
            <w:pPr>
              <w:widowControl/>
              <w:jc w:val="left"/>
              <w:rPr>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党支部委员会一般每届任期</w:t>
            </w:r>
            <w:r>
              <w:rPr>
                <w:rFonts w:ascii="宋体" w:hAnsi="宋体"/>
                <w:kern w:val="0"/>
                <w:szCs w:val="21"/>
              </w:rPr>
              <w:t>3</w:t>
            </w:r>
            <w:r>
              <w:rPr>
                <w:rFonts w:hint="eastAsia" w:ascii="宋体" w:hAnsi="宋体"/>
                <w:kern w:val="0"/>
                <w:szCs w:val="21"/>
              </w:rPr>
              <w:t>年，期满按期换届（2分）。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40" w:hRule="atLeast"/>
          <w:jc w:val="center"/>
        </w:trPr>
        <w:tc>
          <w:tcPr>
            <w:tcW w:w="1017" w:type="dxa"/>
            <w:vMerge w:val="continue"/>
            <w:tcBorders>
              <w:left w:val="single" w:color="auto" w:sz="8"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nil"/>
              <w:bottom w:val="single" w:color="auto" w:sz="4" w:space="0"/>
              <w:right w:val="single" w:color="auto" w:sz="4" w:space="0"/>
            </w:tcBorders>
            <w:noWrap w:val="0"/>
            <w:vAlign w:val="center"/>
          </w:tcPr>
          <w:p>
            <w:pPr>
              <w:widowControl/>
              <w:jc w:val="left"/>
              <w:rPr>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kern w:val="0"/>
              </w:rPr>
              <w:t>深化基层党组织星级建设，全面落实支部“堡垒指数”、党员“先锋指数”管理工作</w:t>
            </w:r>
            <w:r>
              <w:rPr>
                <w:rFonts w:hint="eastAsia" w:ascii="宋体" w:hAnsi="宋体"/>
                <w:kern w:val="0"/>
                <w:szCs w:val="21"/>
              </w:rPr>
              <w:t>（1分）</w:t>
            </w:r>
            <w:r>
              <w:rPr>
                <w:rFonts w:hint="eastAsia"/>
                <w:kern w:val="0"/>
              </w:rPr>
              <w:t>。</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10"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restart"/>
            <w:tcBorders>
              <w:top w:val="single" w:color="auto" w:sz="4" w:space="0"/>
              <w:left w:val="nil"/>
              <w:right w:val="single" w:color="auto" w:sz="4" w:space="0"/>
            </w:tcBorders>
            <w:noWrap w:val="0"/>
            <w:vAlign w:val="center"/>
          </w:tcPr>
          <w:p>
            <w:pPr>
              <w:widowControl/>
              <w:jc w:val="left"/>
              <w:rPr>
                <w:rFonts w:eastAsia="仿宋_GB2312"/>
                <w:kern w:val="0"/>
                <w:sz w:val="24"/>
                <w:szCs w:val="24"/>
              </w:rPr>
            </w:pPr>
            <w:r>
              <w:rPr>
                <w:rFonts w:hint="eastAsia" w:eastAsia="仿宋_GB2312"/>
                <w:kern w:val="0"/>
                <w:sz w:val="24"/>
                <w:szCs w:val="24"/>
              </w:rPr>
              <w:t>从严发展党员和党员教育管理（5分）</w:t>
            </w:r>
          </w:p>
        </w:tc>
        <w:tc>
          <w:tcPr>
            <w:tcW w:w="4530" w:type="dxa"/>
            <w:tcBorders>
              <w:top w:val="single" w:color="auto" w:sz="4" w:space="0"/>
              <w:left w:val="nil"/>
              <w:bottom w:val="single" w:color="auto" w:sz="4" w:space="0"/>
              <w:right w:val="single" w:color="auto" w:sz="8" w:space="0"/>
            </w:tcBorders>
            <w:noWrap w:val="0"/>
            <w:vAlign w:val="center"/>
          </w:tcPr>
          <w:p>
            <w:pPr>
              <w:jc w:val="left"/>
              <w:rPr>
                <w:rFonts w:ascii="宋体" w:hAnsi="宋体"/>
                <w:kern w:val="0"/>
                <w:szCs w:val="21"/>
              </w:rPr>
            </w:pPr>
            <w:r>
              <w:rPr>
                <w:rFonts w:hint="eastAsia" w:ascii="宋体" w:hAnsi="宋体"/>
                <w:kern w:val="0"/>
                <w:szCs w:val="21"/>
              </w:rPr>
              <w:t>认真做好师生入党积极分子教育培养和经常性的发展党员工作，把政治标准放在首位，严格程序、严肃纪律（2分）。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32"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主动积极吸纳高知识人员入党（1分）。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70"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实施把骨干教师培养成党员、党员培养成骨干教师的“双培养”工程，注重发现、培养和推荐党员、群众中的优秀人才（2分）。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33"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restart"/>
            <w:tcBorders>
              <w:top w:val="nil"/>
              <w:left w:val="nil"/>
              <w:right w:val="single" w:color="auto" w:sz="4" w:space="0"/>
            </w:tcBorders>
            <w:noWrap w:val="0"/>
            <w:vAlign w:val="center"/>
          </w:tcPr>
          <w:p>
            <w:pPr>
              <w:widowControl/>
              <w:jc w:val="left"/>
              <w:rPr>
                <w:rFonts w:hint="eastAsia" w:eastAsia="仿宋_GB2312"/>
                <w:kern w:val="0"/>
                <w:sz w:val="24"/>
                <w:szCs w:val="24"/>
              </w:rPr>
            </w:pPr>
            <w:r>
              <w:rPr>
                <w:rFonts w:hint="eastAsia" w:eastAsia="仿宋_GB2312"/>
                <w:kern w:val="0"/>
                <w:sz w:val="24"/>
                <w:szCs w:val="24"/>
              </w:rPr>
              <w:t>强化工作保障</w:t>
            </w:r>
          </w:p>
          <w:p>
            <w:pPr>
              <w:widowControl/>
              <w:jc w:val="left"/>
              <w:rPr>
                <w:rFonts w:eastAsia="仿宋_GB2312"/>
                <w:kern w:val="0"/>
                <w:sz w:val="24"/>
                <w:szCs w:val="24"/>
              </w:rPr>
            </w:pPr>
            <w:r>
              <w:rPr>
                <w:rFonts w:hint="eastAsia" w:eastAsia="仿宋_GB2312"/>
                <w:kern w:val="0"/>
                <w:sz w:val="24"/>
                <w:szCs w:val="24"/>
              </w:rPr>
              <w:t>（8分）</w:t>
            </w:r>
          </w:p>
        </w:tc>
        <w:tc>
          <w:tcPr>
            <w:tcW w:w="4530" w:type="dxa"/>
            <w:tcBorders>
              <w:top w:val="nil"/>
              <w:left w:val="nil"/>
              <w:bottom w:val="single" w:color="auto" w:sz="4" w:space="0"/>
              <w:right w:val="single" w:color="auto" w:sz="8" w:space="0"/>
            </w:tcBorders>
            <w:noWrap w:val="0"/>
            <w:vAlign w:val="center"/>
          </w:tcPr>
          <w:p>
            <w:pPr>
              <w:jc w:val="left"/>
              <w:rPr>
                <w:rFonts w:ascii="宋体" w:hAnsi="宋体"/>
                <w:kern w:val="0"/>
                <w:szCs w:val="21"/>
              </w:rPr>
            </w:pPr>
            <w:r>
              <w:rPr>
                <w:rFonts w:hint="eastAsia" w:ascii="宋体" w:hAnsi="宋体"/>
                <w:kern w:val="0"/>
                <w:szCs w:val="21"/>
              </w:rPr>
              <w:t>落实教工党支部书记由所在同级部门（单位）负责人担任的要求，注重选拔党建、学术“双带头人”担任教师党支部书记（2分）。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41"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落实“学生党支部书记一般由辅导员或党员教师担任，由高年级学生党员担任的，应配备党建导师联系指导”的要求（2分）。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795" w:hRule="atLeast"/>
          <w:jc w:val="center"/>
        </w:trPr>
        <w:tc>
          <w:tcPr>
            <w:tcW w:w="1017" w:type="dxa"/>
            <w:vMerge w:val="continue"/>
            <w:tcBorders>
              <w:left w:val="single" w:color="auto" w:sz="8" w:space="0"/>
              <w:right w:val="single" w:color="auto" w:sz="4" w:space="0"/>
            </w:tcBorders>
            <w:noWrap w:val="0"/>
            <w:vAlign w:val="center"/>
          </w:tcPr>
          <w:p>
            <w:pPr>
              <w:widowControl/>
              <w:jc w:val="left"/>
              <w:rPr>
                <w:kern w:val="0"/>
                <w:sz w:val="24"/>
                <w:szCs w:val="24"/>
              </w:rPr>
            </w:pPr>
          </w:p>
        </w:tc>
        <w:tc>
          <w:tcPr>
            <w:tcW w:w="1135" w:type="dxa"/>
            <w:vMerge w:val="continue"/>
            <w:tcBorders>
              <w:left w:val="nil"/>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党支部书记每年至少参加1次学校或二级学院（系）级党组织举办的集中轮训，新任党支部书记按要求参加任职培训（2分）。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79" w:hRule="atLeast"/>
          <w:jc w:val="center"/>
        </w:trPr>
        <w:tc>
          <w:tcPr>
            <w:tcW w:w="1017" w:type="dxa"/>
            <w:vMerge w:val="continue"/>
            <w:tcBorders>
              <w:left w:val="single" w:color="auto" w:sz="8" w:space="0"/>
              <w:bottom w:val="single" w:color="auto" w:sz="4" w:space="0"/>
              <w:right w:val="single" w:color="auto" w:sz="4" w:space="0"/>
            </w:tcBorders>
            <w:noWrap w:val="0"/>
            <w:vAlign w:val="center"/>
          </w:tcPr>
          <w:p>
            <w:pPr>
              <w:widowControl/>
              <w:jc w:val="left"/>
              <w:rPr>
                <w:kern w:val="0"/>
                <w:sz w:val="24"/>
                <w:szCs w:val="24"/>
              </w:rPr>
            </w:pPr>
          </w:p>
        </w:tc>
        <w:tc>
          <w:tcPr>
            <w:tcW w:w="1135" w:type="dxa"/>
            <w:vMerge w:val="continue"/>
            <w:tcBorders>
              <w:left w:val="nil"/>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kern w:val="0"/>
                <w:szCs w:val="21"/>
              </w:rPr>
            </w:pPr>
            <w:r>
              <w:rPr>
                <w:rFonts w:hint="eastAsia" w:ascii="宋体" w:hAnsi="宋体"/>
                <w:kern w:val="0"/>
                <w:szCs w:val="21"/>
              </w:rPr>
              <w:t>管好用好上级党组织划拨的党建工作经费和下拨的党费，做到专款专用（2分）。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25" w:hRule="atLeast"/>
          <w:jc w:val="center"/>
        </w:trPr>
        <w:tc>
          <w:tcPr>
            <w:tcW w:w="1017" w:type="dxa"/>
            <w:vMerge w:val="restart"/>
            <w:tcBorders>
              <w:top w:val="single" w:color="auto" w:sz="4" w:space="0"/>
              <w:left w:val="single" w:color="auto" w:sz="4" w:space="0"/>
              <w:right w:val="single" w:color="auto" w:sz="4" w:space="0"/>
            </w:tcBorders>
            <w:noWrap w:val="0"/>
            <w:vAlign w:val="center"/>
          </w:tcPr>
          <w:p>
            <w:pPr>
              <w:widowControl/>
              <w:rPr>
                <w:rFonts w:hint="eastAsia" w:eastAsia="楷体"/>
                <w:kern w:val="0"/>
                <w:sz w:val="24"/>
                <w:szCs w:val="24"/>
              </w:rPr>
            </w:pPr>
            <w:r>
              <w:rPr>
                <w:rFonts w:hint="eastAsia" w:eastAsia="楷体"/>
                <w:kern w:val="0"/>
                <w:sz w:val="24"/>
                <w:szCs w:val="24"/>
              </w:rPr>
              <w:t>作风建设</w:t>
            </w:r>
          </w:p>
          <w:p>
            <w:pPr>
              <w:widowControl/>
              <w:jc w:val="center"/>
              <w:rPr>
                <w:rFonts w:eastAsia="楷体"/>
                <w:kern w:val="0"/>
                <w:sz w:val="24"/>
                <w:szCs w:val="24"/>
              </w:rPr>
            </w:pPr>
            <w:r>
              <w:rPr>
                <w:rFonts w:hint="eastAsia" w:eastAsia="楷体"/>
                <w:kern w:val="0"/>
                <w:sz w:val="24"/>
                <w:szCs w:val="24"/>
              </w:rPr>
              <w:t>（10分）</w:t>
            </w:r>
          </w:p>
        </w:tc>
        <w:tc>
          <w:tcPr>
            <w:tcW w:w="1135" w:type="dxa"/>
            <w:vMerge w:val="restart"/>
            <w:tcBorders>
              <w:top w:val="single" w:color="auto" w:sz="4" w:space="0"/>
              <w:left w:val="single" w:color="auto" w:sz="4" w:space="0"/>
              <w:right w:val="single" w:color="auto" w:sz="4" w:space="0"/>
            </w:tcBorders>
            <w:noWrap w:val="0"/>
            <w:vAlign w:val="center"/>
          </w:tcPr>
          <w:p>
            <w:pPr>
              <w:widowControl/>
              <w:jc w:val="left"/>
              <w:rPr>
                <w:rFonts w:eastAsia="仿宋_GB2312"/>
                <w:kern w:val="0"/>
                <w:sz w:val="24"/>
                <w:szCs w:val="24"/>
              </w:rPr>
            </w:pPr>
            <w:r>
              <w:rPr>
                <w:rFonts w:hint="eastAsia" w:eastAsia="仿宋_GB2312"/>
                <w:kern w:val="0"/>
                <w:sz w:val="24"/>
                <w:szCs w:val="24"/>
              </w:rPr>
              <w:t>密切联系服务师生群众（5分）</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Cs w:val="21"/>
              </w:rPr>
            </w:pPr>
            <w:r>
              <w:rPr>
                <w:rFonts w:hint="eastAsia" w:ascii="宋体" w:hAnsi="宋体"/>
                <w:kern w:val="0"/>
                <w:szCs w:val="21"/>
              </w:rPr>
              <w:t>深化“最多跑一次”改革，提高党员组织关系转接等事项办理效率和质量（1分）。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304" w:hRule="atLeast"/>
          <w:jc w:val="center"/>
        </w:trPr>
        <w:tc>
          <w:tcPr>
            <w:tcW w:w="1017" w:type="dxa"/>
            <w:vMerge w:val="continue"/>
            <w:tcBorders>
              <w:top w:val="single" w:color="auto" w:sz="4" w:space="0"/>
              <w:left w:val="single" w:color="auto" w:sz="4"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top w:val="single" w:color="auto" w:sz="4" w:space="0"/>
              <w:left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kern w:val="0"/>
                <w:szCs w:val="21"/>
              </w:rPr>
            </w:pPr>
            <w:r>
              <w:rPr>
                <w:rFonts w:hint="eastAsia" w:ascii="宋体" w:hAnsi="宋体"/>
                <w:kern w:val="0"/>
                <w:szCs w:val="21"/>
              </w:rPr>
              <w:t>注重分析党员思想状况和心理状态（1分）。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795" w:hRule="atLeast"/>
          <w:jc w:val="center"/>
        </w:trPr>
        <w:tc>
          <w:tcPr>
            <w:tcW w:w="1017" w:type="dxa"/>
            <w:vMerge w:val="continue"/>
            <w:tcBorders>
              <w:left w:val="single" w:color="auto" w:sz="4"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kern w:val="0"/>
                <w:szCs w:val="21"/>
              </w:rPr>
            </w:pPr>
            <w:r>
              <w:rPr>
                <w:rFonts w:hint="eastAsia" w:ascii="宋体" w:hAnsi="宋体"/>
                <w:kern w:val="0"/>
                <w:szCs w:val="21"/>
              </w:rPr>
              <w:t>健全困难师生党员关怀帮扶机制，把解决思想问题和解决实际问题相结合，积极开展服务、帮扶、慰问等活动（2分）。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552" w:hRule="atLeast"/>
          <w:jc w:val="center"/>
        </w:trPr>
        <w:tc>
          <w:tcPr>
            <w:tcW w:w="1017" w:type="dxa"/>
            <w:vMerge w:val="continue"/>
            <w:tcBorders>
              <w:left w:val="single" w:color="auto" w:sz="4"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kern w:val="0"/>
                <w:szCs w:val="21"/>
              </w:rPr>
            </w:pPr>
            <w:r>
              <w:rPr>
                <w:rFonts w:hint="eastAsia" w:ascii="宋体" w:hAnsi="宋体"/>
                <w:kern w:val="0"/>
                <w:szCs w:val="21"/>
              </w:rPr>
              <w:t>经常开展谈心谈话，支部委员之间、支部委员与党员之间、党员与党员之间，每年谈心谈话不少于</w:t>
            </w:r>
            <w:r>
              <w:rPr>
                <w:rFonts w:ascii="宋体" w:hAnsi="宋体"/>
                <w:kern w:val="0"/>
                <w:szCs w:val="21"/>
              </w:rPr>
              <w:t>1</w:t>
            </w:r>
            <w:r>
              <w:rPr>
                <w:rFonts w:hint="eastAsia" w:ascii="宋体" w:hAnsi="宋体"/>
                <w:kern w:val="0"/>
                <w:szCs w:val="21"/>
              </w:rPr>
              <w:t>次（1分）。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1065" w:hRule="atLeast"/>
          <w:jc w:val="center"/>
        </w:trPr>
        <w:tc>
          <w:tcPr>
            <w:tcW w:w="1017" w:type="dxa"/>
            <w:vMerge w:val="continue"/>
            <w:tcBorders>
              <w:left w:val="single" w:color="auto" w:sz="4" w:space="0"/>
              <w:right w:val="single" w:color="auto" w:sz="4" w:space="0"/>
            </w:tcBorders>
            <w:noWrap w:val="0"/>
            <w:vAlign w:val="center"/>
          </w:tcPr>
          <w:p>
            <w:pPr>
              <w:widowControl/>
              <w:jc w:val="left"/>
              <w:rPr>
                <w:kern w:val="0"/>
                <w:sz w:val="24"/>
                <w:szCs w:val="24"/>
              </w:rPr>
            </w:pPr>
          </w:p>
        </w:tc>
        <w:tc>
          <w:tcPr>
            <w:tcW w:w="1135" w:type="dxa"/>
            <w:vMerge w:val="restart"/>
            <w:tcBorders>
              <w:top w:val="single" w:color="auto" w:sz="4" w:space="0"/>
              <w:left w:val="single" w:color="auto" w:sz="4" w:space="0"/>
              <w:right w:val="single" w:color="auto" w:sz="4" w:space="0"/>
            </w:tcBorders>
            <w:noWrap w:val="0"/>
            <w:vAlign w:val="center"/>
          </w:tcPr>
          <w:p>
            <w:pPr>
              <w:widowControl/>
              <w:jc w:val="left"/>
              <w:rPr>
                <w:rFonts w:eastAsia="仿宋_GB2312"/>
                <w:kern w:val="0"/>
                <w:sz w:val="24"/>
                <w:szCs w:val="24"/>
              </w:rPr>
            </w:pPr>
            <w:r>
              <w:rPr>
                <w:rFonts w:hint="eastAsia" w:eastAsia="仿宋_GB2312"/>
                <w:kern w:val="0"/>
                <w:sz w:val="24"/>
                <w:szCs w:val="24"/>
              </w:rPr>
              <w:t>加强师德师风学风建设（5分）</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Cs w:val="21"/>
              </w:rPr>
            </w:pPr>
            <w:r>
              <w:rPr>
                <w:rFonts w:hint="eastAsia" w:ascii="宋体" w:hAnsi="宋体"/>
                <w:kern w:val="0"/>
                <w:szCs w:val="21"/>
              </w:rPr>
              <w:t>引导和督促支部所在单位（部门）教师严格落实《新时代高校教师职业行为十项准则》等规定，并把师德师风情况作为支部出具教职工思想政治鉴定的重要标准（2分）。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268" w:hRule="atLeast"/>
          <w:jc w:val="center"/>
        </w:trPr>
        <w:tc>
          <w:tcPr>
            <w:tcW w:w="1017" w:type="dxa"/>
            <w:vMerge w:val="continue"/>
            <w:tcBorders>
              <w:left w:val="single" w:color="auto" w:sz="4" w:space="0"/>
              <w:right w:val="single" w:color="auto" w:sz="4" w:space="0"/>
            </w:tcBorders>
            <w:noWrap w:val="0"/>
            <w:vAlign w:val="center"/>
          </w:tcPr>
          <w:p>
            <w:pPr>
              <w:widowControl/>
              <w:jc w:val="left"/>
              <w:rPr>
                <w:kern w:val="0"/>
                <w:sz w:val="24"/>
                <w:szCs w:val="24"/>
              </w:rPr>
            </w:pPr>
          </w:p>
        </w:tc>
        <w:tc>
          <w:tcPr>
            <w:tcW w:w="1135" w:type="dxa"/>
            <w:vMerge w:val="continue"/>
            <w:tcBorders>
              <w:left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kern w:val="0"/>
                <w:szCs w:val="21"/>
              </w:rPr>
            </w:pPr>
            <w:r>
              <w:rPr>
                <w:rFonts w:hint="eastAsia" w:ascii="宋体" w:hAnsi="宋体"/>
                <w:kern w:val="0"/>
                <w:szCs w:val="21"/>
              </w:rPr>
              <w:t>加强学生学业诚信教育和管理，严肃处理党员、入党积极分子等涉及考试作弊和论文抄袭等行为（2分）。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25" w:hRule="atLeast"/>
          <w:jc w:val="center"/>
        </w:trPr>
        <w:tc>
          <w:tcPr>
            <w:tcW w:w="1017" w:type="dxa"/>
            <w:vMerge w:val="continue"/>
            <w:tcBorders>
              <w:left w:val="single" w:color="auto" w:sz="4" w:space="0"/>
              <w:bottom w:val="single" w:color="auto" w:sz="4" w:space="0"/>
              <w:right w:val="single" w:color="auto" w:sz="4" w:space="0"/>
            </w:tcBorders>
            <w:noWrap w:val="0"/>
            <w:vAlign w:val="center"/>
          </w:tcPr>
          <w:p>
            <w:pPr>
              <w:widowControl/>
              <w:jc w:val="left"/>
              <w:rPr>
                <w:kern w:val="0"/>
                <w:sz w:val="24"/>
                <w:szCs w:val="24"/>
              </w:rPr>
            </w:pPr>
          </w:p>
        </w:tc>
        <w:tc>
          <w:tcPr>
            <w:tcW w:w="11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kern w:val="0"/>
                <w:szCs w:val="21"/>
              </w:rPr>
            </w:pPr>
            <w:r>
              <w:rPr>
                <w:rFonts w:hint="eastAsia" w:ascii="宋体" w:hAnsi="宋体"/>
                <w:kern w:val="0"/>
                <w:szCs w:val="21"/>
              </w:rPr>
              <w:t>注重挖掘宣传师生身边的先进典型，发挥党支部、师生党员在师德师风学风建设中的示范带动作用（1分）。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85" w:hRule="atLeast"/>
          <w:jc w:val="center"/>
        </w:trPr>
        <w:tc>
          <w:tcPr>
            <w:tcW w:w="1017" w:type="dxa"/>
            <w:vMerge w:val="restart"/>
            <w:tcBorders>
              <w:top w:val="single" w:color="auto" w:sz="4" w:space="0"/>
              <w:left w:val="single" w:color="auto" w:sz="4" w:space="0"/>
              <w:right w:val="single" w:color="auto" w:sz="4" w:space="0"/>
            </w:tcBorders>
            <w:noWrap w:val="0"/>
            <w:vAlign w:val="center"/>
          </w:tcPr>
          <w:p>
            <w:pPr>
              <w:widowControl/>
              <w:rPr>
                <w:rFonts w:hint="eastAsia" w:eastAsia="楷体"/>
                <w:kern w:val="0"/>
                <w:sz w:val="24"/>
                <w:szCs w:val="24"/>
              </w:rPr>
            </w:pPr>
            <w:r>
              <w:rPr>
                <w:rFonts w:hint="eastAsia" w:eastAsia="楷体"/>
                <w:kern w:val="0"/>
                <w:sz w:val="24"/>
                <w:szCs w:val="24"/>
              </w:rPr>
              <w:t>纪律建设</w:t>
            </w:r>
          </w:p>
          <w:p>
            <w:pPr>
              <w:widowControl/>
              <w:jc w:val="center"/>
              <w:rPr>
                <w:rFonts w:eastAsia="楷体"/>
                <w:kern w:val="0"/>
                <w:sz w:val="24"/>
                <w:szCs w:val="24"/>
              </w:rPr>
            </w:pPr>
            <w:r>
              <w:rPr>
                <w:rFonts w:hint="eastAsia" w:eastAsia="楷体"/>
                <w:kern w:val="0"/>
                <w:sz w:val="24"/>
                <w:szCs w:val="24"/>
              </w:rPr>
              <w:t>（10分）</w:t>
            </w:r>
          </w:p>
        </w:tc>
        <w:tc>
          <w:tcPr>
            <w:tcW w:w="1135" w:type="dxa"/>
            <w:vMerge w:val="restart"/>
            <w:tcBorders>
              <w:top w:val="single" w:color="auto" w:sz="4" w:space="0"/>
              <w:left w:val="single" w:color="auto" w:sz="4" w:space="0"/>
              <w:right w:val="single" w:color="auto" w:sz="4" w:space="0"/>
            </w:tcBorders>
            <w:noWrap w:val="0"/>
            <w:vAlign w:val="center"/>
          </w:tcPr>
          <w:p>
            <w:pPr>
              <w:widowControl/>
              <w:jc w:val="left"/>
              <w:rPr>
                <w:rFonts w:eastAsia="仿宋_GB2312"/>
                <w:kern w:val="0"/>
                <w:sz w:val="24"/>
                <w:szCs w:val="24"/>
              </w:rPr>
            </w:pPr>
            <w:r>
              <w:rPr>
                <w:rFonts w:hint="eastAsia" w:eastAsia="仿宋_GB2312"/>
                <w:kern w:val="0"/>
                <w:sz w:val="24"/>
                <w:szCs w:val="24"/>
              </w:rPr>
              <w:t>严明党的纪律和规矩（5分）</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szCs w:val="21"/>
              </w:rPr>
              <w:t>严格用党章党规党纪规范党员行为，教育引导党员模范遵守教师职业道德规范、践行学术道德、严守纪律底线（3分）。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345" w:hRule="atLeast"/>
          <w:jc w:val="center"/>
        </w:trPr>
        <w:tc>
          <w:tcPr>
            <w:tcW w:w="1017" w:type="dxa"/>
            <w:vMerge w:val="continue"/>
            <w:tcBorders>
              <w:left w:val="single" w:color="auto" w:sz="4" w:space="0"/>
              <w:right w:val="single" w:color="auto" w:sz="4" w:space="0"/>
            </w:tcBorders>
            <w:noWrap w:val="0"/>
            <w:vAlign w:val="center"/>
          </w:tcPr>
          <w:p>
            <w:pPr>
              <w:widowControl/>
              <w:rPr>
                <w:rFonts w:hint="eastAsia" w:eastAsia="楷体"/>
                <w:kern w:val="0"/>
                <w:sz w:val="24"/>
                <w:szCs w:val="24"/>
              </w:rPr>
            </w:pPr>
          </w:p>
        </w:tc>
        <w:tc>
          <w:tcPr>
            <w:tcW w:w="11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kern w:val="0"/>
                <w:szCs w:val="21"/>
              </w:rPr>
            </w:pPr>
            <w:r>
              <w:rPr>
                <w:rFonts w:hint="eastAsia" w:ascii="宋体" w:hAnsi="宋体"/>
                <w:kern w:val="0"/>
                <w:szCs w:val="21"/>
              </w:rPr>
              <w:t>健全党员退出机制，及时稳妥处置不合格党员（2分）。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70" w:hRule="atLeast"/>
          <w:jc w:val="center"/>
        </w:trPr>
        <w:tc>
          <w:tcPr>
            <w:tcW w:w="1017" w:type="dxa"/>
            <w:vMerge w:val="continue"/>
            <w:tcBorders>
              <w:left w:val="single" w:color="auto" w:sz="4" w:space="0"/>
              <w:right w:val="single" w:color="auto" w:sz="4" w:space="0"/>
            </w:tcBorders>
            <w:noWrap w:val="0"/>
            <w:vAlign w:val="center"/>
          </w:tcPr>
          <w:p>
            <w:pPr>
              <w:widowControl/>
              <w:jc w:val="left"/>
              <w:rPr>
                <w:kern w:val="0"/>
                <w:sz w:val="24"/>
                <w:szCs w:val="24"/>
              </w:rPr>
            </w:pPr>
          </w:p>
        </w:tc>
        <w:tc>
          <w:tcPr>
            <w:tcW w:w="1135" w:type="dxa"/>
            <w:vMerge w:val="restart"/>
            <w:tcBorders>
              <w:top w:val="single" w:color="auto" w:sz="4" w:space="0"/>
              <w:left w:val="single" w:color="auto" w:sz="4" w:space="0"/>
              <w:right w:val="single" w:color="auto" w:sz="4" w:space="0"/>
            </w:tcBorders>
            <w:noWrap w:val="0"/>
            <w:vAlign w:val="center"/>
          </w:tcPr>
          <w:p>
            <w:pPr>
              <w:widowControl/>
              <w:jc w:val="left"/>
              <w:rPr>
                <w:rFonts w:eastAsia="仿宋_GB2312"/>
                <w:kern w:val="0"/>
                <w:sz w:val="24"/>
                <w:szCs w:val="24"/>
              </w:rPr>
            </w:pPr>
            <w:r>
              <w:rPr>
                <w:rFonts w:hint="eastAsia" w:eastAsia="仿宋_GB2312"/>
                <w:kern w:val="0"/>
                <w:sz w:val="24"/>
                <w:szCs w:val="24"/>
              </w:rPr>
              <w:t>加强纪律教育和党内监督（5分）</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Cs w:val="21"/>
              </w:rPr>
            </w:pPr>
            <w:r>
              <w:rPr>
                <w:rFonts w:hint="eastAsia" w:ascii="宋体" w:hAnsi="宋体"/>
                <w:kern w:val="0"/>
                <w:szCs w:val="21"/>
              </w:rPr>
              <w:t>把纪律教育纳入支部“三会一课”、主题党日等重要内容，定期开展党章党规党纪宣传教育、廉政文化活动等，教育引导师生崇廉尚洁（3分）。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671" w:hRule="atLeast"/>
          <w:jc w:val="center"/>
        </w:trPr>
        <w:tc>
          <w:tcPr>
            <w:tcW w:w="1017" w:type="dxa"/>
            <w:vMerge w:val="continue"/>
            <w:tcBorders>
              <w:left w:val="single" w:color="auto" w:sz="4" w:space="0"/>
              <w:bottom w:val="single" w:color="auto" w:sz="4" w:space="0"/>
              <w:right w:val="single" w:color="auto" w:sz="4" w:space="0"/>
            </w:tcBorders>
            <w:noWrap w:val="0"/>
            <w:vAlign w:val="center"/>
          </w:tcPr>
          <w:p>
            <w:pPr>
              <w:widowControl/>
              <w:jc w:val="left"/>
              <w:rPr>
                <w:kern w:val="0"/>
                <w:sz w:val="24"/>
                <w:szCs w:val="24"/>
              </w:rPr>
            </w:pPr>
          </w:p>
        </w:tc>
        <w:tc>
          <w:tcPr>
            <w:tcW w:w="11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4"/>
                <w:szCs w:val="24"/>
              </w:rPr>
            </w:pPr>
          </w:p>
        </w:tc>
        <w:tc>
          <w:tcPr>
            <w:tcW w:w="45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kern w:val="0"/>
                <w:szCs w:val="21"/>
              </w:rPr>
            </w:pPr>
            <w:r>
              <w:rPr>
                <w:rFonts w:hint="eastAsia" w:ascii="宋体" w:hAnsi="宋体"/>
                <w:kern w:val="0"/>
                <w:szCs w:val="21"/>
              </w:rPr>
              <w:t>及时了解党员思想动态，善于发现苗头性倾向性问题，及时“咬耳扯袖”（2分）。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675" w:hRule="atLeast"/>
          <w:jc w:val="center"/>
        </w:trPr>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eastAsia="楷体"/>
                <w:kern w:val="0"/>
                <w:sz w:val="24"/>
                <w:szCs w:val="24"/>
              </w:rPr>
            </w:pPr>
            <w:r>
              <w:rPr>
                <w:rFonts w:hint="eastAsia" w:eastAsia="楷体"/>
                <w:kern w:val="0"/>
                <w:sz w:val="24"/>
                <w:szCs w:val="24"/>
              </w:rPr>
              <w:t>引领发展</w:t>
            </w:r>
          </w:p>
          <w:p>
            <w:pPr>
              <w:widowControl/>
              <w:jc w:val="center"/>
              <w:rPr>
                <w:rFonts w:eastAsia="楷体"/>
                <w:kern w:val="0"/>
                <w:sz w:val="24"/>
                <w:szCs w:val="24"/>
              </w:rPr>
            </w:pPr>
            <w:r>
              <w:rPr>
                <w:rFonts w:hint="eastAsia" w:eastAsia="楷体"/>
                <w:kern w:val="0"/>
                <w:sz w:val="24"/>
                <w:szCs w:val="24"/>
              </w:rPr>
              <w:t>（20分）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4"/>
                <w:szCs w:val="24"/>
              </w:rPr>
            </w:pPr>
            <w:r>
              <w:rPr>
                <w:rFonts w:hint="eastAsia" w:eastAsia="仿宋_GB2312"/>
                <w:kern w:val="0"/>
                <w:sz w:val="24"/>
                <w:szCs w:val="24"/>
              </w:rPr>
              <w:t>凝聚师生群众</w:t>
            </w:r>
          </w:p>
          <w:p>
            <w:pPr>
              <w:widowControl/>
              <w:jc w:val="left"/>
              <w:rPr>
                <w:rFonts w:eastAsia="仿宋_GB2312"/>
                <w:kern w:val="0"/>
                <w:sz w:val="24"/>
                <w:szCs w:val="24"/>
              </w:rPr>
            </w:pPr>
            <w:r>
              <w:rPr>
                <w:rFonts w:hint="eastAsia" w:eastAsia="仿宋_GB2312"/>
                <w:kern w:val="0"/>
                <w:sz w:val="24"/>
                <w:szCs w:val="24"/>
              </w:rPr>
              <w:t>（10分）</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szCs w:val="21"/>
              </w:rPr>
              <w:t>加强对党员群众的思想引领，以党支部建设带动所在同级单位（部门）群团组织建设，注重发挥群团组织中党员的作用，把师生紧紧团结在党组织的周围。（10分）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10"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kern w:val="0"/>
                <w:sz w:val="24"/>
                <w:szCs w:val="24"/>
              </w:rPr>
            </w:pPr>
            <w:r>
              <w:rPr>
                <w:rFonts w:hint="eastAsia" w:eastAsia="仿宋_GB2312"/>
                <w:kern w:val="0"/>
                <w:sz w:val="24"/>
                <w:szCs w:val="24"/>
              </w:rPr>
              <w:t>推进事业发展</w:t>
            </w:r>
          </w:p>
          <w:p>
            <w:pPr>
              <w:widowControl/>
              <w:jc w:val="left"/>
              <w:rPr>
                <w:rFonts w:eastAsia="仿宋_GB2312"/>
                <w:kern w:val="0"/>
                <w:sz w:val="24"/>
                <w:szCs w:val="24"/>
              </w:rPr>
            </w:pPr>
            <w:r>
              <w:rPr>
                <w:rFonts w:hint="eastAsia" w:eastAsia="仿宋_GB2312"/>
                <w:kern w:val="0"/>
                <w:sz w:val="24"/>
                <w:szCs w:val="24"/>
              </w:rPr>
              <w:t>（10分）</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szCs w:val="21"/>
              </w:rPr>
              <w:t>注重发挥党支部战斗堡垒作用和师生党员先锋模范作用，为支部所在同级单位（部门）人才培养、学科专业建设、科学研究、社会服务等中心工作提供有力保障，保证各项任务完成。（10分）</w:t>
            </w:r>
          </w:p>
        </w:tc>
        <w:tc>
          <w:tcPr>
            <w:tcW w:w="2724"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r>
      <w:tr>
        <w:tblPrEx>
          <w:tblCellMar>
            <w:top w:w="0" w:type="dxa"/>
            <w:left w:w="108" w:type="dxa"/>
            <w:bottom w:w="0" w:type="dxa"/>
            <w:right w:w="108" w:type="dxa"/>
          </w:tblCellMar>
        </w:tblPrEx>
        <w:trPr>
          <w:trHeight w:val="810" w:hRule="atLeast"/>
          <w:jc w:val="center"/>
        </w:trPr>
        <w:tc>
          <w:tcPr>
            <w:tcW w:w="940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kern w:val="0"/>
                <w:szCs w:val="21"/>
                <w:lang w:val="en-US" w:eastAsia="zh-CN"/>
              </w:rPr>
            </w:pPr>
            <w:r>
              <w:rPr>
                <w:rFonts w:hint="eastAsia" w:ascii="宋体" w:hAnsi="宋体"/>
                <w:b/>
                <w:bCs/>
                <w:kern w:val="0"/>
                <w:szCs w:val="21"/>
                <w:lang w:val="en-US" w:eastAsia="zh-CN"/>
              </w:rPr>
              <w:t>自评总分</w:t>
            </w:r>
          </w:p>
        </w:tc>
        <w:tc>
          <w:tcPr>
            <w:tcW w:w="832" w:type="dxa"/>
            <w:gridSpan w:val="2"/>
            <w:tcBorders>
              <w:top w:val="single" w:color="auto" w:sz="4" w:space="0"/>
              <w:bottom w:val="single" w:color="auto" w:sz="4" w:space="0"/>
              <w:right w:val="single" w:color="auto" w:sz="4" w:space="0"/>
            </w:tcBorders>
            <w:noWrap w:val="0"/>
            <w:vAlign w:val="top"/>
          </w:tcPr>
          <w:p>
            <w:pPr>
              <w:widowControl/>
              <w:jc w:val="left"/>
              <w:rPr>
                <w:rFonts w:ascii="宋体" w:hAnsi="宋体"/>
                <w:kern w:val="0"/>
                <w:szCs w:val="21"/>
              </w:rPr>
            </w:pPr>
          </w:p>
        </w:tc>
        <w:tc>
          <w:tcPr>
            <w:tcW w:w="880"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w:t>
            </w:r>
          </w:p>
        </w:tc>
      </w:tr>
    </w:tbl>
    <w:p>
      <w:pPr>
        <w:widowControl/>
        <w:jc w:val="left"/>
        <w:rPr>
          <w:rFonts w:hint="eastAsia" w:ascii="仿宋_GB2312" w:eastAsia="仿宋_GB2312"/>
          <w:kern w:val="0"/>
          <w:sz w:val="24"/>
          <w:szCs w:val="24"/>
        </w:rPr>
      </w:pPr>
      <w:r>
        <w:rPr>
          <w:rFonts w:hint="eastAsia" w:ascii="仿宋_GB2312" w:eastAsia="仿宋_GB2312"/>
          <w:kern w:val="0"/>
          <w:sz w:val="24"/>
          <w:szCs w:val="24"/>
        </w:rPr>
        <w:t>注：1.评分采取总分100分逐项扣分的办法进行，每个项目分值扣完为止；</w:t>
      </w:r>
    </w:p>
    <w:p>
      <w:pPr>
        <w:widowControl/>
        <w:ind w:firstLine="465"/>
        <w:jc w:val="left"/>
        <w:rPr>
          <w:rFonts w:hint="eastAsia" w:ascii="仿宋_GB2312" w:eastAsia="仿宋_GB2312"/>
          <w:kern w:val="0"/>
          <w:sz w:val="24"/>
          <w:szCs w:val="24"/>
        </w:rPr>
      </w:pPr>
      <w:r>
        <w:rPr>
          <w:rFonts w:hint="eastAsia" w:ascii="仿宋_GB2312" w:eastAsia="仿宋_GB2312"/>
          <w:kern w:val="0"/>
          <w:sz w:val="24"/>
          <w:szCs w:val="24"/>
        </w:rPr>
        <w:t>2.根据建设内容一一列出具体举措，并提供佐证材料；</w:t>
      </w:r>
    </w:p>
    <w:p>
      <w:pPr>
        <w:widowControl/>
        <w:ind w:firstLine="465"/>
        <w:jc w:val="left"/>
      </w:pPr>
      <w:r>
        <w:rPr>
          <w:rFonts w:hint="eastAsia" w:ascii="仿宋_GB2312" w:eastAsia="仿宋_GB2312"/>
          <w:kern w:val="0"/>
          <w:sz w:val="24"/>
          <w:szCs w:val="24"/>
        </w:rPr>
        <w:t>3.此表由二级党组织负责存档备查。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16A6B"/>
    <w:rsid w:val="6961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2021-12-21T02:47:00Z</dcterms:created>
  <dc:creator>未小朱Julie</dc:creator>
  <cp:lastModifiedBy>未小朱Julie</cp:lastModifiedBy>
  <dcterms:modified xsi:type="dcterms:W3CDTF">2021-12-21T02:48:27Z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7FC398F088DA48B3B2619DAF3B1F0C37</vt:lpwstr>
  </property>
</Properties>
</file>