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2225" w:rsidRDefault="00852225">
      <w:pPr>
        <w:tabs>
          <w:tab w:val="left" w:pos="105"/>
        </w:tabs>
        <w:jc w:val="center"/>
        <w:rPr>
          <w:rFonts w:ascii="宋体"/>
          <w:b/>
          <w:sz w:val="36"/>
          <w:szCs w:val="36"/>
        </w:rPr>
      </w:pPr>
    </w:p>
    <w:p w:rsidR="00852225" w:rsidRDefault="00852225">
      <w:pPr>
        <w:tabs>
          <w:tab w:val="left" w:pos="105"/>
        </w:tabs>
        <w:jc w:val="center"/>
        <w:rPr>
          <w:rFonts w:ascii="宋体"/>
          <w:b/>
          <w:sz w:val="36"/>
          <w:szCs w:val="36"/>
        </w:rPr>
      </w:pPr>
    </w:p>
    <w:p w:rsidR="00852225" w:rsidRDefault="00852225">
      <w:pPr>
        <w:tabs>
          <w:tab w:val="left" w:pos="105"/>
        </w:tabs>
        <w:jc w:val="center"/>
        <w:rPr>
          <w:rFonts w:ascii="宋体"/>
          <w:b/>
          <w:sz w:val="36"/>
          <w:szCs w:val="36"/>
        </w:rPr>
      </w:pPr>
    </w:p>
    <w:p w:rsidR="00852225" w:rsidRDefault="002D7AEE">
      <w:pPr>
        <w:tabs>
          <w:tab w:val="left" w:pos="105"/>
        </w:tabs>
        <w:jc w:val="center"/>
        <w:rPr>
          <w:rFonts w:ascii="宋体" w:hint="eastAsia"/>
          <w:b/>
          <w:sz w:val="36"/>
          <w:szCs w:val="36"/>
        </w:rPr>
      </w:pPr>
      <w:r w:rsidRPr="00C354DA">
        <w:rPr>
          <w:rFonts w:ascii="宋体" w:hint="eastAsia"/>
          <w:b/>
          <w:sz w:val="36"/>
          <w:szCs w:val="36"/>
        </w:rPr>
        <w:t>浙江工业大学</w:t>
      </w:r>
      <w:r w:rsidRPr="00C354DA">
        <w:rPr>
          <w:rFonts w:ascii="宋体" w:hint="eastAsia"/>
          <w:b/>
          <w:sz w:val="36"/>
          <w:szCs w:val="36"/>
          <w:lang w:val="en-GB"/>
        </w:rPr>
        <w:t>与澳大利亚</w:t>
      </w:r>
      <w:r w:rsidR="00521A9E" w:rsidRPr="00C354DA">
        <w:rPr>
          <w:rFonts w:ascii="宋体" w:hint="eastAsia"/>
          <w:b/>
          <w:sz w:val="36"/>
          <w:szCs w:val="36"/>
          <w:lang w:val="en-GB"/>
        </w:rPr>
        <w:t>联邦</w:t>
      </w:r>
      <w:r w:rsidRPr="00C354DA">
        <w:rPr>
          <w:rFonts w:ascii="宋体" w:hint="eastAsia"/>
          <w:b/>
          <w:sz w:val="36"/>
          <w:szCs w:val="36"/>
          <w:lang w:val="en-GB"/>
        </w:rPr>
        <w:t>大学合作举办</w:t>
      </w:r>
      <w:bookmarkStart w:id="0" w:name="OLE_LINK7"/>
      <w:r w:rsidRPr="00C354DA">
        <w:rPr>
          <w:rFonts w:ascii="宋体" w:hint="eastAsia"/>
          <w:b/>
          <w:sz w:val="36"/>
          <w:szCs w:val="36"/>
          <w:lang w:val="en-GB"/>
        </w:rPr>
        <w:t>土木工程专业</w:t>
      </w:r>
      <w:bookmarkEnd w:id="0"/>
      <w:r w:rsidRPr="00C354DA">
        <w:rPr>
          <w:rFonts w:ascii="宋体" w:hint="eastAsia"/>
          <w:b/>
          <w:sz w:val="36"/>
          <w:szCs w:val="36"/>
          <w:lang w:val="en-GB"/>
        </w:rPr>
        <w:t>本科教育项目</w:t>
      </w:r>
      <w:r w:rsidR="00521A9E" w:rsidRPr="00C354DA">
        <w:rPr>
          <w:rFonts w:ascii="宋体" w:hint="eastAsia"/>
          <w:b/>
          <w:sz w:val="36"/>
          <w:szCs w:val="36"/>
        </w:rPr>
        <w:t>2016</w:t>
      </w:r>
      <w:r w:rsidRPr="00C354DA">
        <w:rPr>
          <w:rFonts w:ascii="宋体" w:hint="eastAsia"/>
          <w:b/>
          <w:sz w:val="36"/>
          <w:szCs w:val="36"/>
        </w:rPr>
        <w:t>年度自评报告</w:t>
      </w:r>
    </w:p>
    <w:p w:rsidR="00F44DBE" w:rsidRPr="00C354DA" w:rsidRDefault="00F44DBE">
      <w:pPr>
        <w:tabs>
          <w:tab w:val="left" w:pos="105"/>
        </w:tabs>
        <w:jc w:val="center"/>
        <w:rPr>
          <w:rFonts w:ascii="宋体"/>
          <w:b/>
          <w:sz w:val="36"/>
          <w:szCs w:val="36"/>
        </w:rPr>
      </w:pPr>
    </w:p>
    <w:p w:rsidR="00852225" w:rsidRPr="00C354DA" w:rsidRDefault="00852225">
      <w:pPr>
        <w:rPr>
          <w:rFonts w:ascii="宋体" w:eastAsia="宋体" w:hAnsi="宋体" w:cs="宋体"/>
          <w:sz w:val="24"/>
        </w:rPr>
      </w:pPr>
    </w:p>
    <w:p w:rsidR="00852225" w:rsidRPr="00C354DA" w:rsidRDefault="002D7AEE">
      <w:pPr>
        <w:rPr>
          <w:rFonts w:ascii="宋体" w:eastAsia="宋体" w:hAnsi="宋体" w:cs="宋体"/>
          <w:sz w:val="28"/>
          <w:szCs w:val="28"/>
        </w:rPr>
      </w:pPr>
      <w:r w:rsidRPr="00C354DA">
        <w:rPr>
          <w:rFonts w:ascii="宋体" w:eastAsia="宋体" w:hAnsi="宋体" w:cs="宋体" w:hint="eastAsia"/>
          <w:sz w:val="28"/>
          <w:szCs w:val="28"/>
        </w:rPr>
        <w:t>一</w:t>
      </w:r>
      <w:r w:rsidRPr="00C354DA">
        <w:rPr>
          <w:rFonts w:ascii="宋体" w:eastAsia="宋体" w:hAnsi="宋体" w:cs="宋体" w:hint="eastAsia"/>
          <w:b/>
          <w:bCs/>
          <w:sz w:val="28"/>
          <w:szCs w:val="28"/>
        </w:rPr>
        <w:t>、</w:t>
      </w:r>
      <w:r w:rsidRPr="00C354DA">
        <w:rPr>
          <w:rFonts w:ascii="宋体" w:eastAsia="宋体" w:hAnsi="宋体" w:cs="宋体"/>
          <w:b/>
          <w:bCs/>
          <w:sz w:val="28"/>
          <w:szCs w:val="28"/>
        </w:rPr>
        <w:t>办学基本情况</w:t>
      </w:r>
    </w:p>
    <w:p w:rsidR="00852225" w:rsidRPr="00C354DA" w:rsidRDefault="002D7AEE">
      <w:pPr>
        <w:autoSpaceDE w:val="0"/>
        <w:autoSpaceDN w:val="0"/>
        <w:adjustRightInd w:val="0"/>
        <w:spacing w:line="260" w:lineRule="auto"/>
        <w:jc w:val="left"/>
        <w:rPr>
          <w:rFonts w:asciiTheme="minorEastAsia" w:hAnsiTheme="minorEastAsia" w:cstheme="minorEastAsia"/>
          <w:kern w:val="0"/>
          <w:sz w:val="24"/>
          <w:lang w:val="zh-CN"/>
        </w:rPr>
      </w:pPr>
      <w:r w:rsidRPr="00C354DA">
        <w:rPr>
          <w:rFonts w:ascii="宋体" w:hAnsi="宋体" w:cs="Tahoma" w:hint="eastAsia"/>
          <w:kern w:val="0"/>
          <w:sz w:val="24"/>
        </w:rPr>
        <w:t xml:space="preserve">    </w:t>
      </w:r>
      <w:r w:rsidRPr="00C354DA">
        <w:rPr>
          <w:rFonts w:asciiTheme="minorEastAsia" w:hAnsiTheme="minorEastAsia" w:cstheme="minorEastAsia" w:hint="eastAsia"/>
          <w:kern w:val="0"/>
          <w:sz w:val="24"/>
          <w:lang w:val="zh-CN"/>
        </w:rPr>
        <w:t>1. 浙江工业大学简介</w:t>
      </w:r>
    </w:p>
    <w:p w:rsidR="00E30762" w:rsidRPr="00C354DA" w:rsidRDefault="002D7AEE" w:rsidP="00E30762">
      <w:pPr>
        <w:autoSpaceDE w:val="0"/>
        <w:autoSpaceDN w:val="0"/>
        <w:adjustRightInd w:val="0"/>
        <w:spacing w:line="260" w:lineRule="auto"/>
        <w:jc w:val="left"/>
        <w:rPr>
          <w:rFonts w:asciiTheme="minorEastAsia" w:hAnsiTheme="minorEastAsia" w:cstheme="minorEastAsia"/>
          <w:kern w:val="0"/>
          <w:sz w:val="24"/>
          <w:lang w:val="zh-CN"/>
        </w:rPr>
      </w:pPr>
      <w:r w:rsidRPr="00C354DA">
        <w:rPr>
          <w:rFonts w:asciiTheme="minorEastAsia" w:hAnsiTheme="minorEastAsia" w:cstheme="minorEastAsia" w:hint="eastAsia"/>
          <w:kern w:val="0"/>
          <w:sz w:val="24"/>
          <w:lang w:val="zh-CN"/>
        </w:rPr>
        <w:t xml:space="preserve">    </w:t>
      </w:r>
      <w:r w:rsidR="00234E21" w:rsidRPr="00C354DA">
        <w:rPr>
          <w:rFonts w:asciiTheme="minorEastAsia" w:hAnsiTheme="minorEastAsia" w:cstheme="minorEastAsia" w:hint="eastAsia"/>
          <w:kern w:val="0"/>
          <w:sz w:val="24"/>
          <w:lang w:val="zh-CN"/>
        </w:rPr>
        <w:t>浙江工业大学</w:t>
      </w:r>
      <w:r w:rsidR="00D04825" w:rsidRPr="00C354DA">
        <w:rPr>
          <w:rFonts w:asciiTheme="minorEastAsia" w:hAnsiTheme="minorEastAsia" w:cstheme="minorEastAsia" w:hint="eastAsia"/>
          <w:kern w:val="0"/>
          <w:sz w:val="24"/>
          <w:lang w:val="zh-CN"/>
        </w:rPr>
        <w:t>位于杭州，</w:t>
      </w:r>
      <w:r w:rsidR="00234E21" w:rsidRPr="00C354DA">
        <w:rPr>
          <w:rFonts w:asciiTheme="minorEastAsia" w:hAnsiTheme="minorEastAsia" w:cstheme="minorEastAsia" w:hint="eastAsia"/>
          <w:kern w:val="0"/>
          <w:sz w:val="24"/>
          <w:lang w:val="zh-CN"/>
        </w:rPr>
        <w:t>是一所省部共建的</w:t>
      </w:r>
      <w:r w:rsidR="00B437A4" w:rsidRPr="00C354DA">
        <w:rPr>
          <w:rFonts w:asciiTheme="minorEastAsia" w:hAnsiTheme="minorEastAsia" w:cstheme="minorEastAsia" w:hint="eastAsia"/>
          <w:kern w:val="0"/>
          <w:sz w:val="24"/>
          <w:lang w:val="zh-CN"/>
        </w:rPr>
        <w:t>综合性的</w:t>
      </w:r>
      <w:r w:rsidR="00234E21" w:rsidRPr="00C354DA">
        <w:rPr>
          <w:rFonts w:asciiTheme="minorEastAsia" w:hAnsiTheme="minorEastAsia" w:cstheme="minorEastAsia" w:hint="eastAsia"/>
          <w:kern w:val="0"/>
          <w:sz w:val="24"/>
          <w:lang w:val="zh-CN"/>
        </w:rPr>
        <w:t>浙江省属重点大学，</w:t>
      </w:r>
      <w:r w:rsidR="00102D54" w:rsidRPr="00C354DA">
        <w:rPr>
          <w:rFonts w:asciiTheme="minorEastAsia" w:hAnsiTheme="minorEastAsia" w:cstheme="minorEastAsia" w:hint="eastAsia"/>
          <w:kern w:val="0"/>
          <w:sz w:val="24"/>
          <w:lang w:val="zh-CN"/>
        </w:rPr>
        <w:t>占地面积3000余亩，现有70个本科专业，</w:t>
      </w:r>
      <w:r w:rsidR="00102D54" w:rsidRPr="00C354DA">
        <w:rPr>
          <w:rFonts w:asciiTheme="minorEastAsia" w:hAnsiTheme="minorEastAsia" w:cstheme="minorEastAsia"/>
          <w:kern w:val="0"/>
          <w:sz w:val="24"/>
          <w:lang w:val="zh-CN"/>
        </w:rPr>
        <w:t>涵盖11大</w:t>
      </w:r>
      <w:r w:rsidR="00310CA8" w:rsidRPr="00C354DA">
        <w:rPr>
          <w:rFonts w:asciiTheme="minorEastAsia" w:hAnsiTheme="minorEastAsia" w:cstheme="minorEastAsia"/>
          <w:kern w:val="0"/>
          <w:sz w:val="24"/>
          <w:lang w:val="zh-CN"/>
        </w:rPr>
        <w:t>学科</w:t>
      </w:r>
      <w:r w:rsidR="00102D54" w:rsidRPr="00C354DA">
        <w:rPr>
          <w:rFonts w:asciiTheme="minorEastAsia" w:hAnsiTheme="minorEastAsia" w:cstheme="minorEastAsia"/>
          <w:kern w:val="0"/>
          <w:sz w:val="24"/>
          <w:lang w:val="zh-CN"/>
        </w:rPr>
        <w:t>门类，设有27个学院1个部</w:t>
      </w:r>
      <w:r w:rsidR="00102D54" w:rsidRPr="00C354DA">
        <w:rPr>
          <w:rFonts w:asciiTheme="minorEastAsia" w:hAnsiTheme="minorEastAsia" w:cstheme="minorEastAsia" w:hint="eastAsia"/>
          <w:kern w:val="0"/>
          <w:sz w:val="24"/>
          <w:lang w:val="zh-CN"/>
        </w:rPr>
        <w:t>。</w:t>
      </w:r>
      <w:r w:rsidR="00102D54" w:rsidRPr="00C354DA">
        <w:rPr>
          <w:rFonts w:asciiTheme="minorEastAsia" w:hAnsiTheme="minorEastAsia" w:cstheme="minorEastAsia"/>
          <w:kern w:val="0"/>
          <w:sz w:val="24"/>
          <w:lang w:val="zh-CN"/>
        </w:rPr>
        <w:t>2013年5月，</w:t>
      </w:r>
      <w:r w:rsidR="00D04825" w:rsidRPr="00C354DA">
        <w:rPr>
          <w:rFonts w:asciiTheme="minorEastAsia" w:hAnsiTheme="minorEastAsia" w:cstheme="minorEastAsia" w:hint="eastAsia"/>
          <w:kern w:val="0"/>
          <w:sz w:val="24"/>
          <w:lang w:val="zh-CN"/>
        </w:rPr>
        <w:t>学校的“</w:t>
      </w:r>
      <w:r w:rsidR="00102D54" w:rsidRPr="00C354DA">
        <w:rPr>
          <w:rFonts w:asciiTheme="minorEastAsia" w:hAnsiTheme="minorEastAsia" w:cstheme="minorEastAsia"/>
          <w:kern w:val="0"/>
          <w:sz w:val="24"/>
          <w:lang w:val="zh-CN"/>
        </w:rPr>
        <w:t>长三角绿色制药协同创新中心</w:t>
      </w:r>
      <w:r w:rsidR="00D04825" w:rsidRPr="00C354DA">
        <w:rPr>
          <w:rFonts w:asciiTheme="minorEastAsia" w:hAnsiTheme="minorEastAsia" w:cstheme="minorEastAsia" w:hint="eastAsia"/>
          <w:kern w:val="0"/>
          <w:sz w:val="24"/>
          <w:lang w:val="zh-CN"/>
        </w:rPr>
        <w:t>”</w:t>
      </w:r>
      <w:r w:rsidR="009034F5" w:rsidRPr="00C354DA">
        <w:rPr>
          <w:rFonts w:asciiTheme="minorEastAsia" w:hAnsiTheme="minorEastAsia" w:cstheme="minorEastAsia" w:hint="eastAsia"/>
          <w:kern w:val="0"/>
          <w:sz w:val="24"/>
          <w:lang w:val="zh-CN"/>
        </w:rPr>
        <w:t>成为</w:t>
      </w:r>
      <w:r w:rsidR="00102D54" w:rsidRPr="00C354DA">
        <w:rPr>
          <w:rFonts w:asciiTheme="minorEastAsia" w:hAnsiTheme="minorEastAsia" w:cstheme="minorEastAsia"/>
          <w:kern w:val="0"/>
          <w:sz w:val="24"/>
          <w:lang w:val="zh-CN"/>
        </w:rPr>
        <w:t>全国首批14家2011协同创新中心之一。2015年4</w:t>
      </w:r>
      <w:r w:rsidR="009034F5" w:rsidRPr="00C354DA">
        <w:rPr>
          <w:rFonts w:asciiTheme="minorEastAsia" w:hAnsiTheme="minorEastAsia" w:cstheme="minorEastAsia"/>
          <w:kern w:val="0"/>
          <w:sz w:val="24"/>
          <w:lang w:val="zh-CN"/>
        </w:rPr>
        <w:t>月</w:t>
      </w:r>
      <w:r w:rsidR="00102D54" w:rsidRPr="00C354DA">
        <w:rPr>
          <w:rFonts w:asciiTheme="minorEastAsia" w:hAnsiTheme="minorEastAsia" w:cstheme="minorEastAsia"/>
          <w:kern w:val="0"/>
          <w:sz w:val="24"/>
          <w:lang w:val="zh-CN"/>
        </w:rPr>
        <w:t>入选浙江省首批“省重点建设高校”。</w:t>
      </w:r>
      <w:r w:rsidR="007152A0" w:rsidRPr="00C354DA">
        <w:rPr>
          <w:rFonts w:asciiTheme="minorEastAsia" w:hAnsiTheme="minorEastAsia" w:cstheme="minorEastAsia"/>
          <w:kern w:val="0"/>
          <w:sz w:val="24"/>
          <w:lang w:val="zh-CN"/>
        </w:rPr>
        <w:t>近年来，学生生源质量不断提高，学生实践创新能力不断提高，近三年在各类高水平大学生科技竞赛中获国际级奖33项、国家级奖247项。毕业生深受用人单位青睐，2016年本科生初次就业率为96.74%。</w:t>
      </w:r>
    </w:p>
    <w:p w:rsidR="00852225" w:rsidRPr="00C354DA" w:rsidRDefault="002D7AEE">
      <w:pPr>
        <w:autoSpaceDE w:val="0"/>
        <w:autoSpaceDN w:val="0"/>
        <w:adjustRightInd w:val="0"/>
        <w:spacing w:line="260" w:lineRule="auto"/>
        <w:jc w:val="left"/>
        <w:rPr>
          <w:rFonts w:asciiTheme="minorEastAsia" w:hAnsiTheme="minorEastAsia" w:cstheme="minorEastAsia"/>
          <w:kern w:val="0"/>
          <w:sz w:val="24"/>
          <w:lang w:val="zh-CN"/>
        </w:rPr>
      </w:pPr>
      <w:r w:rsidRPr="00C354DA">
        <w:rPr>
          <w:rFonts w:asciiTheme="minorEastAsia" w:hAnsiTheme="minorEastAsia" w:cstheme="minorEastAsia" w:hint="eastAsia"/>
          <w:kern w:val="0"/>
          <w:sz w:val="24"/>
          <w:lang w:val="zh-CN"/>
        </w:rPr>
        <w:t xml:space="preserve">     2. 澳大利亚</w:t>
      </w:r>
      <w:r w:rsidR="0089637E" w:rsidRPr="00C354DA">
        <w:rPr>
          <w:rFonts w:asciiTheme="minorEastAsia" w:hAnsiTheme="minorEastAsia" w:cstheme="minorEastAsia" w:hint="eastAsia"/>
          <w:kern w:val="0"/>
          <w:sz w:val="24"/>
          <w:lang w:val="zh-CN"/>
        </w:rPr>
        <w:t>联邦</w:t>
      </w:r>
      <w:r w:rsidRPr="00C354DA">
        <w:rPr>
          <w:rFonts w:asciiTheme="minorEastAsia" w:hAnsiTheme="minorEastAsia" w:cstheme="minorEastAsia" w:hint="eastAsia"/>
          <w:kern w:val="0"/>
          <w:sz w:val="24"/>
          <w:lang w:val="zh-CN"/>
        </w:rPr>
        <w:t>大学（</w:t>
      </w:r>
      <w:r w:rsidRPr="00C354DA">
        <w:rPr>
          <w:rFonts w:asciiTheme="minorEastAsia" w:hAnsiTheme="minorEastAsia" w:cstheme="minorEastAsia" w:hint="eastAsia"/>
          <w:kern w:val="0"/>
          <w:sz w:val="24"/>
        </w:rPr>
        <w:t>以下简称FedUni）</w:t>
      </w:r>
      <w:r w:rsidRPr="00C354DA">
        <w:rPr>
          <w:rFonts w:asciiTheme="minorEastAsia" w:hAnsiTheme="minorEastAsia" w:cstheme="minorEastAsia" w:hint="eastAsia"/>
          <w:kern w:val="0"/>
          <w:sz w:val="24"/>
          <w:lang w:val="zh-CN"/>
        </w:rPr>
        <w:t>简介</w:t>
      </w:r>
    </w:p>
    <w:p w:rsidR="00E30762" w:rsidRPr="00C354DA" w:rsidRDefault="00E30762" w:rsidP="00521A9E">
      <w:pPr>
        <w:pStyle w:val="2"/>
        <w:spacing w:line="240" w:lineRule="auto"/>
        <w:rPr>
          <w:rFonts w:asciiTheme="minorEastAsia" w:eastAsiaTheme="minorEastAsia" w:hAnsiTheme="minorEastAsia" w:cstheme="minorEastAsia"/>
          <w:kern w:val="0"/>
          <w:lang w:val="zh-CN"/>
        </w:rPr>
      </w:pPr>
      <w:r w:rsidRPr="00C354DA">
        <w:rPr>
          <w:rFonts w:asciiTheme="minorEastAsia" w:eastAsiaTheme="minorEastAsia" w:hAnsiTheme="minorEastAsia" w:cstheme="minorEastAsia" w:hint="eastAsia"/>
          <w:kern w:val="0"/>
          <w:lang w:val="zh-CN"/>
        </w:rPr>
        <w:t>澳大利亚联邦大学</w:t>
      </w:r>
      <w:r w:rsidR="00B83682" w:rsidRPr="00B83682">
        <w:rPr>
          <w:rFonts w:cs="宋体" w:hint="eastAsia"/>
          <w:kern w:val="0"/>
          <w:lang w:val="zh-CN"/>
        </w:rPr>
        <w:t>（</w:t>
      </w:r>
      <w:r w:rsidR="00B83682" w:rsidRPr="00B83682">
        <w:rPr>
          <w:rFonts w:cs="宋体"/>
          <w:kern w:val="0"/>
          <w:lang w:val="zh-CN"/>
        </w:rPr>
        <w:t xml:space="preserve">Federation University </w:t>
      </w:r>
      <w:r w:rsidR="00B83682" w:rsidRPr="00B83682">
        <w:rPr>
          <w:rFonts w:cs="宋体" w:hint="eastAsia"/>
          <w:kern w:val="0"/>
          <w:lang w:val="zh-CN"/>
        </w:rPr>
        <w:t>Australia）（以下简称联邦大学）</w:t>
      </w:r>
      <w:r w:rsidRPr="00C354DA">
        <w:rPr>
          <w:rFonts w:asciiTheme="minorEastAsia" w:eastAsiaTheme="minorEastAsia" w:hAnsiTheme="minorEastAsia" w:cstheme="minorEastAsia" w:hint="eastAsia"/>
          <w:kern w:val="0"/>
          <w:lang w:val="zh-CN"/>
        </w:rPr>
        <w:t>于</w:t>
      </w:r>
      <w:r w:rsidR="00B83682" w:rsidRPr="00B83682">
        <w:rPr>
          <w:rFonts w:cs="宋体" w:hint="eastAsia"/>
          <w:kern w:val="0"/>
          <w:lang w:val="zh-CN"/>
        </w:rPr>
        <w:t>2014年1月1日</w:t>
      </w:r>
      <w:r w:rsidRPr="00C354DA">
        <w:rPr>
          <w:rFonts w:asciiTheme="minorEastAsia" w:eastAsiaTheme="minorEastAsia" w:hAnsiTheme="minorEastAsia" w:cstheme="minorEastAsia" w:hint="eastAsia"/>
          <w:kern w:val="0"/>
          <w:lang w:val="zh-CN"/>
        </w:rPr>
        <w:t>成立</w:t>
      </w:r>
      <w:r w:rsidR="00B83682" w:rsidRPr="00B83682">
        <w:rPr>
          <w:rFonts w:cs="宋体" w:hint="eastAsia"/>
          <w:kern w:val="0"/>
          <w:lang w:val="zh-CN"/>
        </w:rPr>
        <w:t>，</w:t>
      </w:r>
      <w:r w:rsidRPr="00C354DA">
        <w:rPr>
          <w:rFonts w:asciiTheme="minorEastAsia" w:eastAsiaTheme="minorEastAsia" w:hAnsiTheme="minorEastAsia" w:cstheme="minorEastAsia" w:hint="eastAsia"/>
          <w:kern w:val="0"/>
          <w:lang w:val="zh-CN"/>
        </w:rPr>
        <w:t>是由</w:t>
      </w:r>
      <w:r w:rsidR="00B83682" w:rsidRPr="00B83682">
        <w:rPr>
          <w:rFonts w:cs="宋体" w:hint="eastAsia"/>
          <w:kern w:val="0"/>
          <w:lang w:val="zh-CN"/>
        </w:rPr>
        <w:t>蒙纳士大学吉普斯兰校区与巴拉瑞特大学根据《澳大利亚联邦大学2010法案》合并</w:t>
      </w:r>
      <w:r w:rsidRPr="00C354DA">
        <w:rPr>
          <w:rFonts w:asciiTheme="minorEastAsia" w:eastAsiaTheme="minorEastAsia" w:hAnsiTheme="minorEastAsia" w:cstheme="minorEastAsia" w:hint="eastAsia"/>
          <w:kern w:val="0"/>
          <w:lang w:val="zh-CN"/>
        </w:rPr>
        <w:t>而成</w:t>
      </w:r>
      <w:r w:rsidR="00B83682" w:rsidRPr="00B83682">
        <w:rPr>
          <w:rFonts w:cs="宋体" w:hint="eastAsia"/>
          <w:kern w:val="0"/>
          <w:lang w:val="zh-CN"/>
        </w:rPr>
        <w:t>。新成立的联邦大学是一所政府公立大学，2014年当年被澳大利亚“优秀大学指南”评为“教学质量优秀五星级”大学；是维多利亚州唯一同时提供高等教育、职业技术培训项目以及重大科研机会的地区性公立大学，毕业生就业率居于维多利亚州高校第一位</w:t>
      </w:r>
      <w:r w:rsidRPr="00C354DA">
        <w:rPr>
          <w:rFonts w:asciiTheme="minorEastAsia" w:eastAsiaTheme="minorEastAsia" w:hAnsiTheme="minorEastAsia" w:cstheme="minorEastAsia" w:hint="eastAsia"/>
          <w:kern w:val="0"/>
          <w:lang w:val="zh-CN"/>
        </w:rPr>
        <w:t>。</w:t>
      </w:r>
    </w:p>
    <w:p w:rsidR="00852225" w:rsidRPr="00C354DA" w:rsidRDefault="002D7AEE">
      <w:pPr>
        <w:autoSpaceDE w:val="0"/>
        <w:autoSpaceDN w:val="0"/>
        <w:adjustRightInd w:val="0"/>
        <w:spacing w:line="260" w:lineRule="auto"/>
        <w:jc w:val="left"/>
        <w:rPr>
          <w:rFonts w:asciiTheme="minorEastAsia" w:hAnsiTheme="minorEastAsia" w:cstheme="minorEastAsia"/>
          <w:kern w:val="0"/>
          <w:sz w:val="24"/>
          <w:lang w:val="zh-CN"/>
        </w:rPr>
      </w:pPr>
      <w:r w:rsidRPr="00C354DA">
        <w:rPr>
          <w:rFonts w:asciiTheme="minorEastAsia" w:hAnsiTheme="minorEastAsia" w:cstheme="minorEastAsia" w:hint="eastAsia"/>
          <w:kern w:val="0"/>
          <w:sz w:val="24"/>
          <w:lang w:val="zh-CN"/>
        </w:rPr>
        <w:t xml:space="preserve">    3. 项目情况</w:t>
      </w:r>
    </w:p>
    <w:p w:rsidR="00212AAA" w:rsidRPr="00C354DA" w:rsidRDefault="00F36311">
      <w:pPr>
        <w:autoSpaceDE w:val="0"/>
        <w:autoSpaceDN w:val="0"/>
        <w:adjustRightInd w:val="0"/>
        <w:spacing w:line="260" w:lineRule="auto"/>
        <w:ind w:firstLine="480"/>
        <w:jc w:val="left"/>
        <w:rPr>
          <w:rFonts w:asciiTheme="minorEastAsia" w:hAnsiTheme="minorEastAsia" w:cstheme="minorEastAsia"/>
          <w:kern w:val="0"/>
          <w:sz w:val="24"/>
          <w:lang w:val="zh-CN"/>
        </w:rPr>
      </w:pPr>
      <w:r w:rsidRPr="00C354DA">
        <w:rPr>
          <w:rFonts w:asciiTheme="minorEastAsia" w:hAnsiTheme="minorEastAsia" w:cstheme="minorEastAsia" w:hint="eastAsia"/>
          <w:kern w:val="0"/>
          <w:sz w:val="24"/>
        </w:rPr>
        <w:t xml:space="preserve">3.1  </w:t>
      </w:r>
      <w:r w:rsidR="00327777" w:rsidRPr="00C354DA">
        <w:rPr>
          <w:rFonts w:asciiTheme="minorEastAsia" w:hAnsiTheme="minorEastAsia" w:cstheme="minorEastAsia" w:hint="eastAsia"/>
          <w:kern w:val="0"/>
          <w:sz w:val="24"/>
        </w:rPr>
        <w:t>本项目</w:t>
      </w:r>
      <w:r w:rsidR="00625CAB" w:rsidRPr="00C354DA">
        <w:rPr>
          <w:rFonts w:asciiTheme="minorEastAsia" w:hAnsiTheme="minorEastAsia" w:cstheme="minorEastAsia" w:hint="eastAsia"/>
          <w:kern w:val="0"/>
          <w:sz w:val="24"/>
        </w:rPr>
        <w:t>全日制四年，全程</w:t>
      </w:r>
      <w:r w:rsidR="00BE02A3" w:rsidRPr="00C354DA">
        <w:rPr>
          <w:rFonts w:asciiTheme="minorEastAsia" w:hAnsiTheme="minorEastAsia" w:cstheme="minorEastAsia" w:hint="eastAsia"/>
          <w:kern w:val="0"/>
          <w:sz w:val="24"/>
        </w:rPr>
        <w:t>在浙江工业大学学习，第三和第四学年学生可自愿选择赴澳大利亚</w:t>
      </w:r>
      <w:r w:rsidR="00625CAB" w:rsidRPr="00C354DA">
        <w:rPr>
          <w:rFonts w:asciiTheme="minorEastAsia" w:hAnsiTheme="minorEastAsia" w:cstheme="minorEastAsia" w:hint="eastAsia"/>
          <w:kern w:val="0"/>
          <w:sz w:val="24"/>
        </w:rPr>
        <w:t>蒙纳士</w:t>
      </w:r>
      <w:r w:rsidR="00BE02A3" w:rsidRPr="00C354DA">
        <w:rPr>
          <w:rFonts w:asciiTheme="minorEastAsia" w:hAnsiTheme="minorEastAsia" w:cstheme="minorEastAsia" w:hint="eastAsia"/>
          <w:kern w:val="0"/>
          <w:sz w:val="24"/>
        </w:rPr>
        <w:t>大学学习。</w:t>
      </w:r>
      <w:r w:rsidR="002D7AEE" w:rsidRPr="00C354DA">
        <w:rPr>
          <w:rFonts w:asciiTheme="minorEastAsia" w:hAnsiTheme="minorEastAsia" w:cstheme="minorEastAsia" w:hint="eastAsia"/>
          <w:kern w:val="0"/>
          <w:sz w:val="24"/>
          <w:lang w:val="zh-CN"/>
        </w:rPr>
        <w:t>该项目201</w:t>
      </w:r>
      <w:r w:rsidR="002D7AEE" w:rsidRPr="00C354DA">
        <w:rPr>
          <w:rFonts w:asciiTheme="minorEastAsia" w:hAnsiTheme="minorEastAsia" w:cstheme="minorEastAsia" w:hint="eastAsia"/>
          <w:kern w:val="0"/>
          <w:sz w:val="24"/>
        </w:rPr>
        <w:t>3</w:t>
      </w:r>
      <w:r w:rsidR="002D7AEE" w:rsidRPr="00C354DA">
        <w:rPr>
          <w:rFonts w:asciiTheme="minorEastAsia" w:hAnsiTheme="minorEastAsia" w:cstheme="minorEastAsia" w:hint="eastAsia"/>
          <w:kern w:val="0"/>
          <w:sz w:val="24"/>
          <w:lang w:val="zh-CN"/>
        </w:rPr>
        <w:t>年招生</w:t>
      </w:r>
      <w:r w:rsidR="002D7AEE" w:rsidRPr="00C354DA">
        <w:rPr>
          <w:rFonts w:asciiTheme="minorEastAsia" w:hAnsiTheme="minorEastAsia" w:cstheme="minorEastAsia" w:hint="eastAsia"/>
          <w:kern w:val="0"/>
          <w:sz w:val="24"/>
        </w:rPr>
        <w:t>1期</w:t>
      </w:r>
      <w:r w:rsidR="002D7AEE" w:rsidRPr="00C354DA">
        <w:rPr>
          <w:rFonts w:asciiTheme="minorEastAsia" w:hAnsiTheme="minorEastAsia" w:cstheme="minorEastAsia" w:hint="eastAsia"/>
          <w:kern w:val="0"/>
          <w:sz w:val="24"/>
          <w:lang w:val="zh-CN"/>
        </w:rPr>
        <w:t>，迄今有</w:t>
      </w:r>
      <w:r w:rsidR="002D7AEE" w:rsidRPr="00C354DA">
        <w:rPr>
          <w:rFonts w:asciiTheme="minorEastAsia" w:hAnsiTheme="minorEastAsia" w:cstheme="minorEastAsia" w:hint="eastAsia"/>
          <w:kern w:val="0"/>
          <w:sz w:val="24"/>
        </w:rPr>
        <w:t>注册学生96人，</w:t>
      </w:r>
      <w:r w:rsidR="002D7AEE" w:rsidRPr="00C354DA">
        <w:rPr>
          <w:rFonts w:asciiTheme="minorEastAsia" w:hAnsiTheme="minorEastAsia" w:cstheme="minorEastAsia" w:hint="eastAsia"/>
          <w:kern w:val="0"/>
          <w:sz w:val="24"/>
          <w:lang w:val="zh-CN"/>
        </w:rPr>
        <w:t>在校</w:t>
      </w:r>
      <w:r w:rsidR="00310CA8" w:rsidRPr="00C354DA">
        <w:rPr>
          <w:rFonts w:asciiTheme="minorEastAsia" w:hAnsiTheme="minorEastAsia" w:cstheme="minorEastAsia" w:hint="eastAsia"/>
          <w:kern w:val="0"/>
          <w:sz w:val="24"/>
        </w:rPr>
        <w:t>78</w:t>
      </w:r>
      <w:r w:rsidR="002D7AEE" w:rsidRPr="00C354DA">
        <w:rPr>
          <w:rFonts w:asciiTheme="minorEastAsia" w:hAnsiTheme="minorEastAsia" w:cstheme="minorEastAsia" w:hint="eastAsia"/>
          <w:kern w:val="0"/>
          <w:sz w:val="24"/>
          <w:lang w:val="zh-CN"/>
        </w:rPr>
        <w:t>人，</w:t>
      </w:r>
      <w:r w:rsidR="002D7AEE" w:rsidRPr="00C354DA">
        <w:rPr>
          <w:rFonts w:asciiTheme="minorEastAsia" w:hAnsiTheme="minorEastAsia" w:cstheme="minorEastAsia" w:hint="eastAsia"/>
          <w:kern w:val="0"/>
          <w:sz w:val="24"/>
        </w:rPr>
        <w:t>在澳大利亚蒙纳士大学</w:t>
      </w:r>
      <w:r w:rsidR="00B437A4" w:rsidRPr="00C354DA">
        <w:rPr>
          <w:rFonts w:asciiTheme="minorEastAsia" w:hAnsiTheme="minorEastAsia" w:cstheme="minorEastAsia" w:hint="eastAsia"/>
          <w:kern w:val="0"/>
          <w:sz w:val="24"/>
        </w:rPr>
        <w:t>学习</w:t>
      </w:r>
      <w:r w:rsidR="00310CA8" w:rsidRPr="00C354DA">
        <w:rPr>
          <w:rFonts w:asciiTheme="minorEastAsia" w:hAnsiTheme="minorEastAsia" w:cstheme="minorEastAsia" w:hint="eastAsia"/>
          <w:kern w:val="0"/>
          <w:sz w:val="24"/>
        </w:rPr>
        <w:t>18</w:t>
      </w:r>
      <w:r w:rsidR="002D7AEE" w:rsidRPr="00C354DA">
        <w:rPr>
          <w:rFonts w:asciiTheme="minorEastAsia" w:hAnsiTheme="minorEastAsia" w:cstheme="minorEastAsia" w:hint="eastAsia"/>
          <w:kern w:val="0"/>
          <w:sz w:val="24"/>
        </w:rPr>
        <w:t>人</w:t>
      </w:r>
      <w:r w:rsidR="002D7AEE" w:rsidRPr="00C354DA">
        <w:rPr>
          <w:rFonts w:asciiTheme="minorEastAsia" w:hAnsiTheme="minorEastAsia" w:cstheme="minorEastAsia" w:hint="eastAsia"/>
          <w:kern w:val="0"/>
          <w:sz w:val="24"/>
          <w:lang w:val="zh-CN"/>
        </w:rPr>
        <w:t>。</w:t>
      </w:r>
    </w:p>
    <w:p w:rsidR="00310CA8" w:rsidRPr="00C354DA" w:rsidRDefault="00F36311">
      <w:pPr>
        <w:autoSpaceDE w:val="0"/>
        <w:autoSpaceDN w:val="0"/>
        <w:adjustRightInd w:val="0"/>
        <w:spacing w:line="260" w:lineRule="auto"/>
        <w:ind w:firstLine="480"/>
        <w:jc w:val="left"/>
        <w:rPr>
          <w:rFonts w:asciiTheme="minorEastAsia" w:hAnsiTheme="minorEastAsia" w:cstheme="minorEastAsia"/>
          <w:kern w:val="0"/>
          <w:sz w:val="24"/>
        </w:rPr>
      </w:pPr>
      <w:r w:rsidRPr="00C354DA">
        <w:rPr>
          <w:rFonts w:asciiTheme="minorEastAsia" w:hAnsiTheme="minorEastAsia" w:cstheme="minorEastAsia" w:hint="eastAsia"/>
          <w:kern w:val="0"/>
          <w:sz w:val="24"/>
        </w:rPr>
        <w:t xml:space="preserve">3.2  </w:t>
      </w:r>
      <w:r w:rsidR="002D7AEE" w:rsidRPr="00C354DA">
        <w:rPr>
          <w:rFonts w:asciiTheme="minorEastAsia" w:hAnsiTheme="minorEastAsia" w:cstheme="minorEastAsia" w:hint="eastAsia"/>
          <w:kern w:val="0"/>
          <w:sz w:val="24"/>
        </w:rPr>
        <w:t>由于</w:t>
      </w:r>
      <w:r w:rsidR="00157617" w:rsidRPr="00C354DA">
        <w:rPr>
          <w:rFonts w:asciiTheme="minorEastAsia" w:hAnsiTheme="minorEastAsia" w:cstheme="minorEastAsia" w:hint="eastAsia"/>
          <w:kern w:val="0"/>
          <w:sz w:val="24"/>
        </w:rPr>
        <w:t>项目合作方</w:t>
      </w:r>
      <w:r w:rsidR="002D7AEE" w:rsidRPr="00C354DA">
        <w:rPr>
          <w:rFonts w:asciiTheme="minorEastAsia" w:hAnsiTheme="minorEastAsia" w:cstheme="minorEastAsia" w:hint="eastAsia"/>
          <w:kern w:val="0"/>
          <w:sz w:val="24"/>
        </w:rPr>
        <w:t>蒙纳士大学吉布森校区于2014年1月与其他大学合并更名为澳大利亚联邦大学，该项目</w:t>
      </w:r>
      <w:r w:rsidR="002A7EE7" w:rsidRPr="00C354DA">
        <w:rPr>
          <w:rFonts w:asciiTheme="minorEastAsia" w:hAnsiTheme="minorEastAsia" w:cstheme="minorEastAsia" w:hint="eastAsia"/>
          <w:kern w:val="0"/>
          <w:sz w:val="24"/>
        </w:rPr>
        <w:t>一度</w:t>
      </w:r>
      <w:r w:rsidR="002D7AEE" w:rsidRPr="00C354DA">
        <w:rPr>
          <w:rFonts w:asciiTheme="minorEastAsia" w:hAnsiTheme="minorEastAsia" w:cstheme="minorEastAsia" w:hint="eastAsia"/>
          <w:kern w:val="0"/>
          <w:sz w:val="24"/>
        </w:rPr>
        <w:t>暂停招生</w:t>
      </w:r>
      <w:r w:rsidR="00310CA8" w:rsidRPr="00C354DA">
        <w:rPr>
          <w:rFonts w:asciiTheme="minorEastAsia" w:hAnsiTheme="minorEastAsia" w:cstheme="minorEastAsia" w:hint="eastAsia"/>
          <w:kern w:val="0"/>
          <w:sz w:val="24"/>
        </w:rPr>
        <w:t>，</w:t>
      </w:r>
      <w:r w:rsidR="00157617" w:rsidRPr="00C354DA">
        <w:rPr>
          <w:rFonts w:asciiTheme="minorEastAsia" w:hAnsiTheme="minorEastAsia" w:cstheme="minorEastAsia" w:hint="eastAsia"/>
          <w:kern w:val="0"/>
          <w:sz w:val="24"/>
        </w:rPr>
        <w:t>2013级学生的</w:t>
      </w:r>
      <w:r w:rsidR="00B83682" w:rsidRPr="00B83682">
        <w:rPr>
          <w:rFonts w:ascii="宋体" w:eastAsia="宋体" w:hAnsi="宋体" w:cs="宋体" w:hint="eastAsia"/>
          <w:kern w:val="0"/>
          <w:sz w:val="24"/>
        </w:rPr>
        <w:t>教学工作由联邦大学按照蒙纳士大学教学标准继续承担完成。</w:t>
      </w:r>
    </w:p>
    <w:p w:rsidR="00852225" w:rsidRPr="00C354DA" w:rsidRDefault="00F36311">
      <w:pPr>
        <w:autoSpaceDE w:val="0"/>
        <w:autoSpaceDN w:val="0"/>
        <w:adjustRightInd w:val="0"/>
        <w:spacing w:line="260" w:lineRule="auto"/>
        <w:ind w:firstLine="480"/>
        <w:jc w:val="left"/>
        <w:rPr>
          <w:rFonts w:asciiTheme="minorEastAsia" w:hAnsiTheme="minorEastAsia" w:cstheme="minorEastAsia"/>
          <w:kern w:val="0"/>
          <w:sz w:val="24"/>
        </w:rPr>
      </w:pPr>
      <w:r w:rsidRPr="00C354DA">
        <w:rPr>
          <w:rFonts w:asciiTheme="minorEastAsia" w:hAnsiTheme="minorEastAsia" w:cstheme="minorEastAsia" w:hint="eastAsia"/>
          <w:kern w:val="0"/>
          <w:sz w:val="24"/>
        </w:rPr>
        <w:t>3.3  在</w:t>
      </w:r>
      <w:r w:rsidR="00BD3ADE" w:rsidRPr="00C354DA">
        <w:rPr>
          <w:rFonts w:asciiTheme="minorEastAsia" w:hAnsiTheme="minorEastAsia" w:cstheme="minorEastAsia" w:hint="eastAsia"/>
          <w:kern w:val="0"/>
          <w:sz w:val="24"/>
        </w:rPr>
        <w:t>2016年</w:t>
      </w:r>
      <w:r w:rsidR="002A7EE7" w:rsidRPr="00C354DA">
        <w:rPr>
          <w:rFonts w:asciiTheme="minorEastAsia" w:hAnsiTheme="minorEastAsia" w:cstheme="minorEastAsia" w:hint="eastAsia"/>
          <w:kern w:val="0"/>
          <w:sz w:val="24"/>
        </w:rPr>
        <w:t>4月</w:t>
      </w:r>
      <w:r w:rsidR="00157617" w:rsidRPr="00C354DA">
        <w:rPr>
          <w:rFonts w:asciiTheme="minorEastAsia" w:hAnsiTheme="minorEastAsia" w:cstheme="minorEastAsia" w:hint="eastAsia"/>
          <w:kern w:val="0"/>
          <w:sz w:val="24"/>
        </w:rPr>
        <w:t>，本</w:t>
      </w:r>
      <w:r w:rsidR="002D7AEE" w:rsidRPr="00C354DA">
        <w:rPr>
          <w:rFonts w:asciiTheme="minorEastAsia" w:hAnsiTheme="minorEastAsia" w:cstheme="minorEastAsia" w:hint="eastAsia"/>
          <w:kern w:val="0"/>
          <w:sz w:val="24"/>
        </w:rPr>
        <w:t>项目外方合作学校</w:t>
      </w:r>
      <w:r w:rsidR="002A7EE7" w:rsidRPr="00C354DA">
        <w:rPr>
          <w:rFonts w:asciiTheme="minorEastAsia" w:hAnsiTheme="minorEastAsia" w:cstheme="minorEastAsia" w:hint="eastAsia"/>
          <w:kern w:val="0"/>
          <w:sz w:val="24"/>
        </w:rPr>
        <w:t>正式</w:t>
      </w:r>
      <w:r w:rsidR="002D7AEE" w:rsidRPr="00C354DA">
        <w:rPr>
          <w:rFonts w:asciiTheme="minorEastAsia" w:hAnsiTheme="minorEastAsia" w:cstheme="minorEastAsia" w:hint="eastAsia"/>
          <w:kern w:val="0"/>
          <w:sz w:val="24"/>
        </w:rPr>
        <w:t>更名</w:t>
      </w:r>
      <w:r w:rsidR="00625CAB" w:rsidRPr="00C354DA">
        <w:rPr>
          <w:rFonts w:asciiTheme="minorEastAsia" w:hAnsiTheme="minorEastAsia" w:cstheme="minorEastAsia" w:hint="eastAsia"/>
          <w:kern w:val="0"/>
          <w:sz w:val="24"/>
        </w:rPr>
        <w:t>为“澳大利亚联邦大学</w:t>
      </w:r>
      <w:r w:rsidR="00157617" w:rsidRPr="00C354DA">
        <w:rPr>
          <w:rFonts w:asciiTheme="minorEastAsia" w:hAnsiTheme="minorEastAsia" w:cstheme="minorEastAsia" w:hint="eastAsia"/>
          <w:kern w:val="0"/>
          <w:sz w:val="24"/>
        </w:rPr>
        <w:t>”，</w:t>
      </w:r>
      <w:r w:rsidR="00310CA8" w:rsidRPr="00C354DA">
        <w:rPr>
          <w:rFonts w:asciiTheme="minorEastAsia" w:hAnsiTheme="minorEastAsia" w:cstheme="minorEastAsia" w:hint="eastAsia"/>
          <w:kern w:val="0"/>
          <w:sz w:val="24"/>
        </w:rPr>
        <w:t>双方</w:t>
      </w:r>
      <w:r w:rsidR="00157617" w:rsidRPr="00C354DA">
        <w:rPr>
          <w:rFonts w:asciiTheme="minorEastAsia" w:hAnsiTheme="minorEastAsia" w:cstheme="minorEastAsia" w:hint="eastAsia"/>
          <w:kern w:val="0"/>
          <w:sz w:val="24"/>
        </w:rPr>
        <w:t>重新签订</w:t>
      </w:r>
      <w:r w:rsidR="002A7EE7" w:rsidRPr="00C354DA">
        <w:rPr>
          <w:rFonts w:asciiTheme="minorEastAsia" w:hAnsiTheme="minorEastAsia" w:cstheme="minorEastAsia" w:hint="eastAsia"/>
          <w:kern w:val="0"/>
          <w:sz w:val="24"/>
        </w:rPr>
        <w:t>合作协议，合作期为2016.09.01-2021.08.31</w:t>
      </w:r>
      <w:r w:rsidR="00310CA8" w:rsidRPr="00C354DA">
        <w:rPr>
          <w:rFonts w:asciiTheme="minorEastAsia" w:hAnsiTheme="minorEastAsia" w:cstheme="minorEastAsia" w:hint="eastAsia"/>
          <w:kern w:val="0"/>
          <w:sz w:val="24"/>
        </w:rPr>
        <w:t>，</w:t>
      </w:r>
      <w:r w:rsidR="00E967EA">
        <w:rPr>
          <w:rFonts w:asciiTheme="minorEastAsia" w:hAnsiTheme="minorEastAsia" w:cstheme="minorEastAsia" w:hint="eastAsia"/>
          <w:kern w:val="0"/>
          <w:sz w:val="24"/>
        </w:rPr>
        <w:t>并报教育部备案，</w:t>
      </w:r>
      <w:r w:rsidR="002A7EE7" w:rsidRPr="00C354DA">
        <w:rPr>
          <w:rFonts w:asciiTheme="minorEastAsia" w:hAnsiTheme="minorEastAsia" w:cstheme="minorEastAsia" w:hint="eastAsia"/>
          <w:kern w:val="0"/>
          <w:sz w:val="24"/>
        </w:rPr>
        <w:t>2017年起开始招生。</w:t>
      </w:r>
    </w:p>
    <w:p w:rsidR="00852225" w:rsidRPr="00C354DA" w:rsidRDefault="002D7AEE">
      <w:pPr>
        <w:numPr>
          <w:ilvl w:val="0"/>
          <w:numId w:val="1"/>
        </w:numPr>
        <w:rPr>
          <w:rFonts w:ascii="宋体" w:eastAsia="宋体" w:hAnsi="宋体" w:cs="宋体"/>
          <w:b/>
          <w:bCs/>
          <w:sz w:val="28"/>
          <w:szCs w:val="28"/>
        </w:rPr>
      </w:pPr>
      <w:r w:rsidRPr="00C354DA">
        <w:rPr>
          <w:rFonts w:ascii="宋体" w:hAnsi="宋体" w:cs="Tahoma"/>
          <w:kern w:val="0"/>
          <w:sz w:val="28"/>
          <w:szCs w:val="28"/>
          <w:lang w:val="zh-CN"/>
        </w:rPr>
        <w:t xml:space="preserve">   </w:t>
      </w:r>
      <w:r w:rsidRPr="00C354DA">
        <w:rPr>
          <w:rFonts w:ascii="宋体" w:eastAsia="宋体" w:hAnsi="宋体" w:cs="宋体"/>
          <w:b/>
          <w:bCs/>
          <w:sz w:val="28"/>
          <w:szCs w:val="28"/>
        </w:rPr>
        <w:t>教学运行管理</w:t>
      </w:r>
    </w:p>
    <w:p w:rsidR="00BE02A3" w:rsidRPr="00C354DA" w:rsidRDefault="002D7AEE" w:rsidP="00BE02A3">
      <w:pPr>
        <w:autoSpaceDE w:val="0"/>
        <w:autoSpaceDN w:val="0"/>
        <w:adjustRightInd w:val="0"/>
        <w:spacing w:line="260" w:lineRule="auto"/>
        <w:jc w:val="left"/>
        <w:rPr>
          <w:rFonts w:asciiTheme="minorEastAsia" w:hAnsiTheme="minorEastAsia" w:cstheme="minorEastAsia"/>
          <w:kern w:val="0"/>
          <w:sz w:val="24"/>
          <w:lang w:val="zh-CN"/>
        </w:rPr>
      </w:pPr>
      <w:r w:rsidRPr="00C354DA">
        <w:rPr>
          <w:rFonts w:ascii="宋体" w:hAnsi="宋体" w:cs="Tahoma"/>
          <w:kern w:val="0"/>
          <w:sz w:val="24"/>
          <w:lang w:val="zh-CN"/>
        </w:rPr>
        <w:t xml:space="preserve"> </w:t>
      </w:r>
      <w:r w:rsidRPr="00C354DA">
        <w:rPr>
          <w:rFonts w:ascii="宋体" w:hAnsi="宋体" w:cs="Tahoma" w:hint="eastAsia"/>
          <w:kern w:val="0"/>
          <w:sz w:val="24"/>
        </w:rPr>
        <w:t xml:space="preserve">  </w:t>
      </w:r>
      <w:r w:rsidR="00BE02A3" w:rsidRPr="00C354DA">
        <w:rPr>
          <w:rFonts w:ascii="宋体" w:hAnsi="宋体" w:cs="Tahoma" w:hint="eastAsia"/>
          <w:kern w:val="0"/>
          <w:sz w:val="24"/>
        </w:rPr>
        <w:t>1.</w:t>
      </w:r>
      <w:r w:rsidR="00BE02A3" w:rsidRPr="00C354DA">
        <w:rPr>
          <w:rFonts w:asciiTheme="minorEastAsia" w:hAnsiTheme="minorEastAsia" w:cstheme="minorEastAsia" w:hint="eastAsia"/>
          <w:kern w:val="0"/>
          <w:sz w:val="24"/>
          <w:lang w:val="zh-CN"/>
        </w:rPr>
        <w:t>教学计划</w:t>
      </w:r>
    </w:p>
    <w:p w:rsidR="00BE02A3" w:rsidRPr="00C354DA" w:rsidRDefault="00BE02A3" w:rsidP="00BE02A3">
      <w:pPr>
        <w:autoSpaceDE w:val="0"/>
        <w:autoSpaceDN w:val="0"/>
        <w:adjustRightInd w:val="0"/>
        <w:spacing w:line="260" w:lineRule="auto"/>
        <w:jc w:val="left"/>
        <w:rPr>
          <w:rFonts w:asciiTheme="minorEastAsia" w:hAnsiTheme="minorEastAsia" w:cstheme="minorEastAsia"/>
          <w:sz w:val="24"/>
        </w:rPr>
      </w:pPr>
      <w:r w:rsidRPr="00C354DA">
        <w:rPr>
          <w:rFonts w:asciiTheme="minorEastAsia" w:hAnsiTheme="minorEastAsia" w:cstheme="minorEastAsia" w:hint="eastAsia"/>
          <w:kern w:val="0"/>
          <w:sz w:val="24"/>
        </w:rPr>
        <w:lastRenderedPageBreak/>
        <w:t xml:space="preserve">   </w:t>
      </w:r>
      <w:r w:rsidR="00327777" w:rsidRPr="00C354DA">
        <w:rPr>
          <w:rFonts w:asciiTheme="minorEastAsia" w:hAnsiTheme="minorEastAsia" w:cstheme="minorEastAsia" w:hint="eastAsia"/>
          <w:kern w:val="0"/>
          <w:sz w:val="24"/>
        </w:rPr>
        <w:t xml:space="preserve"> </w:t>
      </w:r>
      <w:r w:rsidR="00DE6D15" w:rsidRPr="00C354DA">
        <w:rPr>
          <w:rFonts w:asciiTheme="minorEastAsia" w:hAnsiTheme="minorEastAsia" w:cstheme="minorEastAsia" w:hint="eastAsia"/>
          <w:kern w:val="0"/>
          <w:sz w:val="24"/>
        </w:rPr>
        <w:t>本</w:t>
      </w:r>
      <w:r w:rsidRPr="00C354DA">
        <w:rPr>
          <w:rFonts w:asciiTheme="minorEastAsia" w:hAnsiTheme="minorEastAsia" w:cstheme="minorEastAsia" w:hint="eastAsia"/>
          <w:kern w:val="0"/>
          <w:sz w:val="24"/>
          <w:lang w:val="zh-CN"/>
        </w:rPr>
        <w:t>项目从FedUni引进</w:t>
      </w:r>
      <w:r w:rsidRPr="00C354DA">
        <w:rPr>
          <w:rFonts w:asciiTheme="minorEastAsia" w:hAnsiTheme="minorEastAsia" w:cstheme="minorEastAsia" w:hint="eastAsia"/>
          <w:kern w:val="0"/>
          <w:sz w:val="24"/>
        </w:rPr>
        <w:t>11门核心</w:t>
      </w:r>
      <w:r w:rsidRPr="00C354DA">
        <w:rPr>
          <w:rFonts w:asciiTheme="minorEastAsia" w:hAnsiTheme="minorEastAsia" w:cstheme="minorEastAsia" w:hint="eastAsia"/>
          <w:kern w:val="0"/>
          <w:sz w:val="24"/>
          <w:lang w:val="zh-CN"/>
        </w:rPr>
        <w:t>课程（</w:t>
      </w:r>
      <w:r w:rsidR="00327777" w:rsidRPr="00C354DA">
        <w:rPr>
          <w:rFonts w:asciiTheme="minorEastAsia" w:hAnsiTheme="minorEastAsia" w:cstheme="minorEastAsia" w:hint="eastAsia"/>
          <w:sz w:val="24"/>
        </w:rPr>
        <w:t>课程</w:t>
      </w:r>
      <w:r w:rsidRPr="00C354DA">
        <w:rPr>
          <w:rFonts w:asciiTheme="minorEastAsia" w:hAnsiTheme="minorEastAsia" w:cstheme="minorEastAsia" w:hint="eastAsia"/>
          <w:sz w:val="24"/>
        </w:rPr>
        <w:t>以</w:t>
      </w:r>
      <w:r w:rsidR="00327777" w:rsidRPr="00C354DA">
        <w:rPr>
          <w:rFonts w:asciiTheme="minorEastAsia" w:hAnsiTheme="minorEastAsia" w:cstheme="minorEastAsia" w:hint="eastAsia"/>
          <w:sz w:val="24"/>
        </w:rPr>
        <w:t>☆</w:t>
      </w:r>
      <w:r w:rsidRPr="00C354DA">
        <w:rPr>
          <w:rFonts w:asciiTheme="minorEastAsia" w:hAnsiTheme="minorEastAsia" w:cstheme="minorEastAsia" w:hint="eastAsia"/>
          <w:sz w:val="24"/>
        </w:rPr>
        <w:t>开头</w:t>
      </w:r>
      <w:r w:rsidRPr="00C354DA">
        <w:rPr>
          <w:rFonts w:asciiTheme="minorEastAsia" w:hAnsiTheme="minorEastAsia" w:cstheme="minorEastAsia" w:hint="eastAsia"/>
          <w:kern w:val="0"/>
          <w:sz w:val="24"/>
          <w:lang w:val="zh-CN"/>
        </w:rPr>
        <w:t>），采用英文原版教材或讲义，由FedUni教师</w:t>
      </w:r>
      <w:r w:rsidR="00DE6D15" w:rsidRPr="00C354DA">
        <w:rPr>
          <w:rFonts w:asciiTheme="minorEastAsia" w:hAnsiTheme="minorEastAsia" w:cstheme="minorEastAsia" w:hint="eastAsia"/>
          <w:kern w:val="0"/>
          <w:sz w:val="24"/>
          <w:lang w:val="zh-CN"/>
        </w:rPr>
        <w:t>全英语授课，作业、考试均</w:t>
      </w:r>
      <w:r w:rsidRPr="00C354DA">
        <w:rPr>
          <w:rFonts w:asciiTheme="minorEastAsia" w:hAnsiTheme="minorEastAsia" w:cstheme="minorEastAsia" w:hint="eastAsia"/>
          <w:kern w:val="0"/>
          <w:sz w:val="24"/>
          <w:lang w:val="zh-CN"/>
        </w:rPr>
        <w:t>用英语。其他课程模块由我校配置，其中部分</w:t>
      </w:r>
      <w:r w:rsidR="00DE6D15" w:rsidRPr="00C354DA">
        <w:rPr>
          <w:rFonts w:asciiTheme="minorEastAsia" w:hAnsiTheme="minorEastAsia" w:cstheme="minorEastAsia" w:hint="eastAsia"/>
          <w:kern w:val="0"/>
          <w:sz w:val="24"/>
          <w:lang w:val="zh-CN"/>
        </w:rPr>
        <w:t>课程</w:t>
      </w:r>
      <w:r w:rsidRPr="00C354DA">
        <w:rPr>
          <w:rFonts w:asciiTheme="minorEastAsia" w:hAnsiTheme="minorEastAsia" w:cstheme="minorEastAsia" w:hint="eastAsia"/>
          <w:kern w:val="0"/>
          <w:sz w:val="24"/>
          <w:lang w:val="zh-CN"/>
        </w:rPr>
        <w:t>采用双语教学，</w:t>
      </w:r>
      <w:r w:rsidRPr="00C354DA">
        <w:rPr>
          <w:rFonts w:asciiTheme="minorEastAsia" w:hAnsiTheme="minorEastAsia" w:cstheme="minorEastAsia" w:hint="eastAsia"/>
          <w:sz w:val="24"/>
        </w:rPr>
        <w:t>通识选修课程</w:t>
      </w:r>
      <w:r w:rsidR="00DE6D15" w:rsidRPr="00C354DA">
        <w:rPr>
          <w:rFonts w:asciiTheme="minorEastAsia" w:hAnsiTheme="minorEastAsia" w:cstheme="minorEastAsia" w:hint="eastAsia"/>
          <w:sz w:val="24"/>
        </w:rPr>
        <w:t>安排</w:t>
      </w:r>
      <w:r w:rsidRPr="00C354DA">
        <w:rPr>
          <w:rFonts w:asciiTheme="minorEastAsia" w:hAnsiTheme="minorEastAsia" w:cstheme="minorEastAsia" w:hint="eastAsia"/>
          <w:sz w:val="24"/>
        </w:rPr>
        <w:t>8学分。严格按照</w:t>
      </w:r>
      <w:r w:rsidR="00DE6D15" w:rsidRPr="00C354DA">
        <w:rPr>
          <w:rFonts w:asciiTheme="minorEastAsia" w:hAnsiTheme="minorEastAsia" w:cstheme="minorEastAsia" w:hint="eastAsia"/>
          <w:sz w:val="24"/>
        </w:rPr>
        <w:t>协议内容和</w:t>
      </w:r>
      <w:r w:rsidRPr="00C354DA">
        <w:rPr>
          <w:rFonts w:asciiTheme="minorEastAsia" w:hAnsiTheme="minorEastAsia" w:cstheme="minorEastAsia" w:hint="eastAsia"/>
          <w:sz w:val="24"/>
        </w:rPr>
        <w:t>教学计划组织实施教学，具有极强的工程专业性质。</w:t>
      </w:r>
    </w:p>
    <w:p w:rsidR="00BE02A3" w:rsidRPr="00C354DA" w:rsidRDefault="002D7AEE" w:rsidP="00BE02A3">
      <w:pPr>
        <w:autoSpaceDE w:val="0"/>
        <w:autoSpaceDN w:val="0"/>
        <w:adjustRightInd w:val="0"/>
        <w:spacing w:line="260" w:lineRule="auto"/>
        <w:ind w:firstLine="465"/>
        <w:jc w:val="left"/>
        <w:rPr>
          <w:rFonts w:asciiTheme="minorEastAsia" w:hAnsiTheme="minorEastAsia" w:cstheme="minorEastAsia"/>
          <w:kern w:val="0"/>
          <w:sz w:val="24"/>
          <w:lang w:val="zh-CN"/>
        </w:rPr>
      </w:pPr>
      <w:r w:rsidRPr="00C354DA">
        <w:rPr>
          <w:rFonts w:asciiTheme="minorEastAsia" w:hAnsiTheme="minorEastAsia" w:cstheme="minorEastAsia" w:hint="eastAsia"/>
          <w:kern w:val="0"/>
          <w:sz w:val="24"/>
        </w:rPr>
        <w:t>2</w:t>
      </w:r>
      <w:r w:rsidRPr="00C354DA">
        <w:rPr>
          <w:rFonts w:asciiTheme="minorEastAsia" w:hAnsiTheme="minorEastAsia" w:cstheme="minorEastAsia" w:hint="eastAsia"/>
          <w:kern w:val="0"/>
          <w:sz w:val="24"/>
          <w:lang w:val="zh-CN"/>
        </w:rPr>
        <w:t>. 教学管理</w:t>
      </w:r>
    </w:p>
    <w:p w:rsidR="006152C2" w:rsidRPr="00C354DA" w:rsidRDefault="00F36311" w:rsidP="006152C2">
      <w:pPr>
        <w:pStyle w:val="a5"/>
        <w:numPr>
          <w:ilvl w:val="1"/>
          <w:numId w:val="11"/>
        </w:numPr>
        <w:snapToGrid w:val="0"/>
        <w:ind w:firstLineChars="0" w:hanging="497"/>
        <w:rPr>
          <w:rFonts w:asciiTheme="minorEastAsia" w:hAnsiTheme="minorEastAsia" w:cstheme="minorEastAsia"/>
          <w:sz w:val="24"/>
        </w:rPr>
      </w:pPr>
      <w:r w:rsidRPr="00C354DA">
        <w:rPr>
          <w:rFonts w:asciiTheme="minorEastAsia" w:hAnsiTheme="minorEastAsia" w:cstheme="minorEastAsia" w:hint="eastAsia"/>
          <w:kern w:val="0"/>
          <w:sz w:val="24"/>
          <w:lang w:val="zh-CN"/>
        </w:rPr>
        <w:t xml:space="preserve"> </w:t>
      </w:r>
      <w:r w:rsidR="002D7AEE" w:rsidRPr="00C354DA">
        <w:rPr>
          <w:rFonts w:asciiTheme="minorEastAsia" w:hAnsiTheme="minorEastAsia" w:cstheme="minorEastAsia" w:hint="eastAsia"/>
          <w:kern w:val="0"/>
          <w:sz w:val="24"/>
          <w:lang w:val="zh-CN"/>
        </w:rPr>
        <w:t>按照协议规定，教学管理，包括教学计划的运行、排课、教学计划</w:t>
      </w:r>
    </w:p>
    <w:p w:rsidR="00BE02A3" w:rsidRPr="00C354DA" w:rsidRDefault="002D7AEE" w:rsidP="006152C2">
      <w:pPr>
        <w:snapToGrid w:val="0"/>
        <w:rPr>
          <w:rFonts w:asciiTheme="minorEastAsia" w:hAnsiTheme="minorEastAsia" w:cstheme="minorEastAsia"/>
          <w:sz w:val="24"/>
        </w:rPr>
      </w:pPr>
      <w:r w:rsidRPr="00C354DA">
        <w:rPr>
          <w:rFonts w:asciiTheme="minorEastAsia" w:hAnsiTheme="minorEastAsia" w:cstheme="minorEastAsia" w:hint="eastAsia"/>
          <w:kern w:val="0"/>
          <w:sz w:val="24"/>
          <w:lang w:val="zh-CN"/>
        </w:rPr>
        <w:t>调整由中方负责。中方国际学院负责教学计划的日常管理、沟通、监督和评价的执行。</w:t>
      </w:r>
      <w:r w:rsidR="00BE02A3" w:rsidRPr="00C354DA">
        <w:rPr>
          <w:rFonts w:asciiTheme="minorEastAsia" w:hAnsiTheme="minorEastAsia" w:cstheme="minorEastAsia" w:hint="eastAsia"/>
          <w:kern w:val="0"/>
          <w:sz w:val="24"/>
          <w:lang w:val="zh-CN"/>
        </w:rPr>
        <w:t>达到了</w:t>
      </w:r>
      <w:r w:rsidRPr="00C354DA">
        <w:rPr>
          <w:rFonts w:asciiTheme="minorEastAsia" w:hAnsiTheme="minorEastAsia" w:cstheme="minorEastAsia" w:hint="eastAsia"/>
          <w:kern w:val="0"/>
          <w:sz w:val="24"/>
          <w:lang w:val="zh-CN"/>
        </w:rPr>
        <w:t>科学规范的管理目的。</w:t>
      </w:r>
    </w:p>
    <w:p w:rsidR="00852225" w:rsidRPr="00C354DA" w:rsidRDefault="00F36311" w:rsidP="006152C2">
      <w:pPr>
        <w:snapToGrid w:val="0"/>
        <w:ind w:leftChars="-65" w:left="-136" w:firstLineChars="292" w:firstLine="701"/>
        <w:rPr>
          <w:rFonts w:asciiTheme="minorEastAsia" w:hAnsiTheme="minorEastAsia" w:cstheme="minorEastAsia"/>
          <w:sz w:val="24"/>
        </w:rPr>
      </w:pPr>
      <w:r w:rsidRPr="00C354DA">
        <w:rPr>
          <w:rFonts w:asciiTheme="minorEastAsia" w:hAnsiTheme="minorEastAsia" w:cstheme="minorEastAsia" w:hint="eastAsia"/>
          <w:sz w:val="24"/>
        </w:rPr>
        <w:t xml:space="preserve">2.2  </w:t>
      </w:r>
      <w:r w:rsidR="00BE02A3" w:rsidRPr="00C354DA">
        <w:rPr>
          <w:rFonts w:asciiTheme="minorEastAsia" w:hAnsiTheme="minorEastAsia" w:cstheme="minorEastAsia" w:hint="eastAsia"/>
          <w:sz w:val="24"/>
        </w:rPr>
        <w:t>教学大纲</w:t>
      </w:r>
    </w:p>
    <w:p w:rsidR="00DE6D15" w:rsidRPr="00C354DA" w:rsidRDefault="002D7AEE" w:rsidP="00DE6D15">
      <w:pPr>
        <w:snapToGrid w:val="0"/>
        <w:ind w:left="442"/>
        <w:outlineLvl w:val="0"/>
        <w:rPr>
          <w:rFonts w:asciiTheme="minorEastAsia" w:hAnsiTheme="minorEastAsia" w:cstheme="minorEastAsia"/>
          <w:sz w:val="24"/>
        </w:rPr>
      </w:pPr>
      <w:r w:rsidRPr="00C354DA">
        <w:rPr>
          <w:rFonts w:asciiTheme="minorEastAsia" w:hAnsiTheme="minorEastAsia" w:cstheme="minorEastAsia" w:hint="eastAsia"/>
          <w:sz w:val="24"/>
        </w:rPr>
        <w:t>教学大纲规范、科学、合理</w:t>
      </w:r>
      <w:r w:rsidR="00DE6D15" w:rsidRPr="00C354DA">
        <w:rPr>
          <w:rFonts w:asciiTheme="minorEastAsia" w:hAnsiTheme="minorEastAsia" w:cstheme="minorEastAsia" w:hint="eastAsia"/>
          <w:sz w:val="24"/>
        </w:rPr>
        <w:t>，</w:t>
      </w:r>
      <w:r w:rsidR="00BE02A3" w:rsidRPr="00C354DA">
        <w:rPr>
          <w:rFonts w:asciiTheme="minorEastAsia" w:hAnsiTheme="minorEastAsia" w:cstheme="minorEastAsia" w:hint="eastAsia"/>
          <w:sz w:val="24"/>
        </w:rPr>
        <w:t>严格按照浙江工业大学和FedUni的学科要求</w:t>
      </w:r>
    </w:p>
    <w:p w:rsidR="00852225" w:rsidRPr="00C354DA" w:rsidRDefault="00BE02A3" w:rsidP="00DE6D15">
      <w:pPr>
        <w:snapToGrid w:val="0"/>
        <w:outlineLvl w:val="0"/>
        <w:rPr>
          <w:rFonts w:asciiTheme="minorEastAsia" w:hAnsiTheme="minorEastAsia" w:cstheme="minorEastAsia"/>
          <w:sz w:val="24"/>
        </w:rPr>
      </w:pPr>
      <w:r w:rsidRPr="00C354DA">
        <w:rPr>
          <w:rFonts w:asciiTheme="minorEastAsia" w:hAnsiTheme="minorEastAsia" w:cstheme="minorEastAsia" w:hint="eastAsia"/>
          <w:sz w:val="24"/>
        </w:rPr>
        <w:t>编写；</w:t>
      </w:r>
      <w:r w:rsidR="002D7AEE" w:rsidRPr="00C354DA">
        <w:rPr>
          <w:rFonts w:asciiTheme="minorEastAsia" w:hAnsiTheme="minorEastAsia" w:cstheme="minorEastAsia" w:hint="eastAsia"/>
          <w:sz w:val="24"/>
        </w:rPr>
        <w:t>每门课程具有一定的科学性和合理性。</w:t>
      </w:r>
    </w:p>
    <w:p w:rsidR="00852225" w:rsidRPr="00C354DA" w:rsidRDefault="002D7AEE" w:rsidP="006152C2">
      <w:pPr>
        <w:pStyle w:val="a5"/>
        <w:numPr>
          <w:ilvl w:val="1"/>
          <w:numId w:val="12"/>
        </w:numPr>
        <w:snapToGrid w:val="0"/>
        <w:ind w:left="1134" w:firstLineChars="0" w:hanging="567"/>
        <w:rPr>
          <w:rFonts w:asciiTheme="minorEastAsia" w:hAnsiTheme="minorEastAsia" w:cstheme="minorEastAsia"/>
          <w:sz w:val="24"/>
        </w:rPr>
      </w:pPr>
      <w:r w:rsidRPr="00C354DA">
        <w:rPr>
          <w:rFonts w:asciiTheme="minorEastAsia" w:hAnsiTheme="minorEastAsia" w:cstheme="minorEastAsia" w:hint="eastAsia"/>
          <w:sz w:val="24"/>
        </w:rPr>
        <w:t>教材</w:t>
      </w:r>
    </w:p>
    <w:p w:rsidR="00852225" w:rsidRPr="00C354DA" w:rsidRDefault="00BE02A3" w:rsidP="00521A9E">
      <w:pPr>
        <w:snapToGrid w:val="0"/>
        <w:ind w:firstLineChars="200" w:firstLine="480"/>
        <w:outlineLvl w:val="0"/>
        <w:rPr>
          <w:rFonts w:asciiTheme="minorEastAsia" w:hAnsiTheme="minorEastAsia" w:cstheme="minorEastAsia"/>
          <w:sz w:val="24"/>
        </w:rPr>
      </w:pPr>
      <w:r w:rsidRPr="00C354DA">
        <w:rPr>
          <w:rFonts w:asciiTheme="minorEastAsia" w:hAnsiTheme="minorEastAsia" w:cstheme="minorEastAsia" w:hint="eastAsia"/>
          <w:sz w:val="24"/>
        </w:rPr>
        <w:t>我校有科学的教材引进和选用制度，所有教材征订都必须通过学校教材科征订，</w:t>
      </w:r>
      <w:r w:rsidR="002D7AEE" w:rsidRPr="00C354DA">
        <w:rPr>
          <w:rFonts w:asciiTheme="minorEastAsia" w:hAnsiTheme="minorEastAsia" w:cstheme="minorEastAsia" w:hint="eastAsia"/>
          <w:sz w:val="24"/>
        </w:rPr>
        <w:t>海外教材</w:t>
      </w:r>
      <w:r w:rsidRPr="00C354DA">
        <w:rPr>
          <w:rFonts w:asciiTheme="minorEastAsia" w:hAnsiTheme="minorEastAsia" w:cstheme="minorEastAsia" w:hint="eastAsia"/>
          <w:sz w:val="24"/>
        </w:rPr>
        <w:t>的</w:t>
      </w:r>
      <w:r w:rsidR="002D7AEE" w:rsidRPr="00C354DA">
        <w:rPr>
          <w:rFonts w:asciiTheme="minorEastAsia" w:hAnsiTheme="minorEastAsia" w:cstheme="minorEastAsia" w:hint="eastAsia"/>
          <w:sz w:val="24"/>
        </w:rPr>
        <w:t>引进必须通过正常出版社</w:t>
      </w:r>
      <w:r w:rsidRPr="00C354DA">
        <w:rPr>
          <w:rFonts w:asciiTheme="minorEastAsia" w:hAnsiTheme="minorEastAsia" w:cstheme="minorEastAsia" w:hint="eastAsia"/>
          <w:sz w:val="24"/>
        </w:rPr>
        <w:t>进行</w:t>
      </w:r>
      <w:r w:rsidR="002D7AEE" w:rsidRPr="00C354DA">
        <w:rPr>
          <w:rFonts w:asciiTheme="minorEastAsia" w:hAnsiTheme="minorEastAsia" w:cstheme="minorEastAsia" w:hint="eastAsia"/>
          <w:sz w:val="24"/>
        </w:rPr>
        <w:t>。</w:t>
      </w:r>
    </w:p>
    <w:p w:rsidR="00852225" w:rsidRPr="00C354DA" w:rsidRDefault="002D7AEE" w:rsidP="006152C2">
      <w:pPr>
        <w:pStyle w:val="a5"/>
        <w:numPr>
          <w:ilvl w:val="1"/>
          <w:numId w:val="12"/>
        </w:numPr>
        <w:snapToGrid w:val="0"/>
        <w:ind w:left="1134" w:firstLineChars="0" w:hanging="567"/>
        <w:rPr>
          <w:rFonts w:asciiTheme="minorEastAsia" w:hAnsiTheme="minorEastAsia" w:cstheme="minorEastAsia"/>
          <w:sz w:val="24"/>
        </w:rPr>
      </w:pPr>
      <w:r w:rsidRPr="00C354DA">
        <w:rPr>
          <w:rFonts w:asciiTheme="minorEastAsia" w:hAnsiTheme="minorEastAsia" w:cstheme="minorEastAsia" w:hint="eastAsia"/>
          <w:sz w:val="24"/>
        </w:rPr>
        <w:t>教学方式</w:t>
      </w:r>
    </w:p>
    <w:p w:rsidR="00852225" w:rsidRPr="00C354DA" w:rsidRDefault="002D7AEE">
      <w:pPr>
        <w:snapToGrid w:val="0"/>
        <w:outlineLvl w:val="0"/>
        <w:rPr>
          <w:rFonts w:asciiTheme="minorEastAsia" w:hAnsiTheme="minorEastAsia" w:cstheme="minorEastAsia"/>
          <w:sz w:val="24"/>
        </w:rPr>
      </w:pPr>
      <w:r w:rsidRPr="00C354DA">
        <w:rPr>
          <w:rFonts w:asciiTheme="minorEastAsia" w:hAnsiTheme="minorEastAsia" w:cstheme="minorEastAsia" w:hint="eastAsia"/>
          <w:sz w:val="24"/>
        </w:rPr>
        <w:t xml:space="preserve">    教学方式多样，有讲座式、洽谈式、自助式、实验、辅导等，符合专业要求。</w:t>
      </w:r>
    </w:p>
    <w:p w:rsidR="00852225" w:rsidRPr="00C354DA" w:rsidRDefault="002D7AEE" w:rsidP="006152C2">
      <w:pPr>
        <w:pStyle w:val="a5"/>
        <w:numPr>
          <w:ilvl w:val="1"/>
          <w:numId w:val="12"/>
        </w:numPr>
        <w:snapToGrid w:val="0"/>
        <w:ind w:left="1134" w:firstLineChars="0" w:hanging="567"/>
        <w:rPr>
          <w:rFonts w:asciiTheme="minorEastAsia" w:hAnsiTheme="minorEastAsia" w:cstheme="minorEastAsia"/>
          <w:sz w:val="24"/>
        </w:rPr>
      </w:pPr>
      <w:r w:rsidRPr="00C354DA">
        <w:rPr>
          <w:rFonts w:asciiTheme="minorEastAsia" w:hAnsiTheme="minorEastAsia" w:cstheme="minorEastAsia" w:hint="eastAsia"/>
          <w:sz w:val="24"/>
        </w:rPr>
        <w:t>教学文件及教学档案</w:t>
      </w:r>
      <w:r w:rsidR="00BE02A3" w:rsidRPr="00C354DA">
        <w:rPr>
          <w:rFonts w:asciiTheme="minorEastAsia" w:hAnsiTheme="minorEastAsia" w:cstheme="minorEastAsia" w:hint="eastAsia"/>
          <w:sz w:val="24"/>
        </w:rPr>
        <w:t>管理</w:t>
      </w:r>
    </w:p>
    <w:p w:rsidR="00852225" w:rsidRPr="00C354DA" w:rsidRDefault="00DE6D15" w:rsidP="00521A9E">
      <w:pPr>
        <w:snapToGrid w:val="0"/>
        <w:ind w:firstLineChars="200" w:firstLine="480"/>
        <w:outlineLvl w:val="0"/>
        <w:rPr>
          <w:rFonts w:asciiTheme="minorEastAsia" w:hAnsiTheme="minorEastAsia" w:cstheme="minorEastAsia"/>
          <w:sz w:val="24"/>
        </w:rPr>
      </w:pPr>
      <w:r w:rsidRPr="00C354DA">
        <w:rPr>
          <w:rFonts w:asciiTheme="minorEastAsia" w:hAnsiTheme="minorEastAsia" w:cstheme="minorEastAsia" w:hint="eastAsia"/>
          <w:sz w:val="24"/>
        </w:rPr>
        <w:t>全部教学文档</w:t>
      </w:r>
      <w:r w:rsidR="002D7AEE" w:rsidRPr="00C354DA">
        <w:rPr>
          <w:rFonts w:asciiTheme="minorEastAsia" w:hAnsiTheme="minorEastAsia" w:cstheme="minorEastAsia" w:hint="eastAsia"/>
          <w:sz w:val="24"/>
        </w:rPr>
        <w:t>保存完整、齐备。FedUni和我校负责各自</w:t>
      </w:r>
      <w:r w:rsidRPr="00C354DA">
        <w:rPr>
          <w:rFonts w:asciiTheme="minorEastAsia" w:hAnsiTheme="minorEastAsia" w:cstheme="minorEastAsia" w:hint="eastAsia"/>
          <w:sz w:val="24"/>
        </w:rPr>
        <w:t>的</w:t>
      </w:r>
      <w:r w:rsidR="002D7AEE" w:rsidRPr="00C354DA">
        <w:rPr>
          <w:rFonts w:asciiTheme="minorEastAsia" w:hAnsiTheme="minorEastAsia" w:cstheme="minorEastAsia" w:hint="eastAsia"/>
          <w:sz w:val="24"/>
        </w:rPr>
        <w:t>教学计划、教学日历、课程教学大纲，管理有</w:t>
      </w:r>
      <w:r w:rsidRPr="00C354DA">
        <w:rPr>
          <w:rFonts w:asciiTheme="minorEastAsia" w:hAnsiTheme="minorEastAsia" w:cstheme="minorEastAsia" w:hint="eastAsia"/>
          <w:sz w:val="24"/>
        </w:rPr>
        <w:t>效完整。学生的学籍材料、成绩登记、课程考核的原始材料均纳入我校</w:t>
      </w:r>
      <w:r w:rsidR="002D7AEE" w:rsidRPr="00C354DA">
        <w:rPr>
          <w:rFonts w:asciiTheme="minorEastAsia" w:hAnsiTheme="minorEastAsia" w:cstheme="minorEastAsia" w:hint="eastAsia"/>
          <w:sz w:val="24"/>
        </w:rPr>
        <w:t>教学体系</w:t>
      </w:r>
      <w:r w:rsidRPr="00C354DA">
        <w:rPr>
          <w:rFonts w:asciiTheme="minorEastAsia" w:hAnsiTheme="minorEastAsia" w:cstheme="minorEastAsia" w:hint="eastAsia"/>
          <w:sz w:val="24"/>
        </w:rPr>
        <w:t>统一管理</w:t>
      </w:r>
      <w:r w:rsidR="002D7AEE" w:rsidRPr="00C354DA">
        <w:rPr>
          <w:rFonts w:asciiTheme="minorEastAsia" w:hAnsiTheme="minorEastAsia" w:cstheme="minorEastAsia" w:hint="eastAsia"/>
          <w:sz w:val="24"/>
        </w:rPr>
        <w:t>。</w:t>
      </w:r>
    </w:p>
    <w:p w:rsidR="00852225" w:rsidRPr="00C354DA" w:rsidRDefault="002D7AEE">
      <w:pPr>
        <w:autoSpaceDE w:val="0"/>
        <w:autoSpaceDN w:val="0"/>
        <w:adjustRightInd w:val="0"/>
        <w:spacing w:line="260" w:lineRule="auto"/>
        <w:jc w:val="left"/>
        <w:rPr>
          <w:rFonts w:asciiTheme="minorEastAsia" w:hAnsiTheme="minorEastAsia" w:cstheme="minorEastAsia"/>
          <w:kern w:val="0"/>
          <w:sz w:val="24"/>
          <w:lang w:val="zh-CN"/>
        </w:rPr>
      </w:pPr>
      <w:r w:rsidRPr="00C354DA">
        <w:rPr>
          <w:rFonts w:asciiTheme="minorEastAsia" w:hAnsiTheme="minorEastAsia" w:cstheme="minorEastAsia" w:hint="eastAsia"/>
          <w:kern w:val="0"/>
          <w:sz w:val="24"/>
          <w:lang w:val="zh-CN"/>
        </w:rPr>
        <w:t xml:space="preserve">    </w:t>
      </w:r>
      <w:r w:rsidR="006152C2" w:rsidRPr="00C354DA">
        <w:rPr>
          <w:rFonts w:asciiTheme="minorEastAsia" w:hAnsiTheme="minorEastAsia" w:cstheme="minorEastAsia" w:hint="eastAsia"/>
          <w:kern w:val="0"/>
          <w:sz w:val="24"/>
          <w:lang w:val="zh-CN"/>
        </w:rPr>
        <w:t xml:space="preserve">3. </w:t>
      </w:r>
      <w:r w:rsidRPr="00C354DA">
        <w:rPr>
          <w:rFonts w:asciiTheme="minorEastAsia" w:hAnsiTheme="minorEastAsia" w:cstheme="minorEastAsia" w:hint="eastAsia"/>
          <w:kern w:val="0"/>
          <w:sz w:val="24"/>
          <w:lang w:val="zh-CN"/>
        </w:rPr>
        <w:t>学生成绩管理</w:t>
      </w:r>
    </w:p>
    <w:p w:rsidR="00852225" w:rsidRPr="00C354DA" w:rsidRDefault="00BE02A3">
      <w:pPr>
        <w:autoSpaceDE w:val="0"/>
        <w:autoSpaceDN w:val="0"/>
        <w:adjustRightInd w:val="0"/>
        <w:spacing w:line="260" w:lineRule="auto"/>
        <w:ind w:firstLine="440"/>
        <w:jc w:val="left"/>
        <w:rPr>
          <w:rFonts w:asciiTheme="minorEastAsia" w:hAnsiTheme="minorEastAsia" w:cstheme="minorEastAsia"/>
          <w:kern w:val="0"/>
          <w:sz w:val="24"/>
          <w:lang w:val="zh-CN"/>
        </w:rPr>
      </w:pPr>
      <w:r w:rsidRPr="00C354DA">
        <w:rPr>
          <w:rFonts w:asciiTheme="minorEastAsia" w:hAnsiTheme="minorEastAsia" w:cstheme="minorEastAsia" w:hint="eastAsia"/>
          <w:kern w:val="0"/>
          <w:sz w:val="24"/>
          <w:lang w:val="zh-CN"/>
        </w:rPr>
        <w:t>严格按照协议规定的要求管理学生成绩。</w:t>
      </w:r>
      <w:r w:rsidR="00674EDF" w:rsidRPr="00C354DA">
        <w:rPr>
          <w:rFonts w:asciiTheme="minorEastAsia" w:hAnsiTheme="minorEastAsia" w:cstheme="minorEastAsia" w:hint="eastAsia"/>
          <w:kern w:val="0"/>
          <w:sz w:val="24"/>
          <w:lang w:val="zh-CN"/>
        </w:rPr>
        <w:t>引进的课程均</w:t>
      </w:r>
      <w:r w:rsidR="002D7AEE" w:rsidRPr="00C354DA">
        <w:rPr>
          <w:rFonts w:asciiTheme="minorEastAsia" w:hAnsiTheme="minorEastAsia" w:cstheme="minorEastAsia" w:hint="eastAsia"/>
          <w:kern w:val="0"/>
          <w:sz w:val="24"/>
          <w:lang w:val="zh-CN"/>
        </w:rPr>
        <w:t>按FedUni的要求，根据平时成绩、作业成绩和期末成绩综合评定学生总成绩；期末试卷由FedUni教师批阅，</w:t>
      </w:r>
      <w:r w:rsidR="002D7AEE" w:rsidRPr="00C354DA">
        <w:rPr>
          <w:rFonts w:asciiTheme="minorEastAsia" w:hAnsiTheme="minorEastAsia" w:cstheme="minorEastAsia" w:hint="eastAsia"/>
          <w:kern w:val="0"/>
          <w:sz w:val="24"/>
        </w:rPr>
        <w:t>并</w:t>
      </w:r>
      <w:r w:rsidR="002D7AEE" w:rsidRPr="00C354DA">
        <w:rPr>
          <w:rFonts w:asciiTheme="minorEastAsia" w:hAnsiTheme="minorEastAsia" w:cstheme="minorEastAsia" w:hint="eastAsia"/>
          <w:kern w:val="0"/>
          <w:sz w:val="24"/>
          <w:lang w:val="zh-CN"/>
        </w:rPr>
        <w:t>确定学生的最终成绩。</w:t>
      </w:r>
    </w:p>
    <w:p w:rsidR="00852225" w:rsidRPr="00C354DA" w:rsidRDefault="002D7AEE">
      <w:pPr>
        <w:snapToGrid w:val="0"/>
        <w:rPr>
          <w:rFonts w:asciiTheme="minorEastAsia" w:hAnsiTheme="minorEastAsia" w:cstheme="minorEastAsia"/>
          <w:b/>
          <w:sz w:val="24"/>
        </w:rPr>
      </w:pPr>
      <w:r w:rsidRPr="00C354DA">
        <w:rPr>
          <w:rFonts w:asciiTheme="minorEastAsia" w:hAnsiTheme="minorEastAsia" w:cstheme="minorEastAsia" w:hint="eastAsia"/>
          <w:b/>
          <w:sz w:val="24"/>
        </w:rPr>
        <w:t xml:space="preserve">    </w:t>
      </w:r>
      <w:r w:rsidRPr="00C354DA">
        <w:rPr>
          <w:rFonts w:asciiTheme="minorEastAsia" w:hAnsiTheme="minorEastAsia" w:cstheme="minorEastAsia" w:hint="eastAsia"/>
          <w:kern w:val="0"/>
          <w:sz w:val="24"/>
        </w:rPr>
        <w:t>4.</w:t>
      </w:r>
      <w:r w:rsidRPr="00C354DA">
        <w:rPr>
          <w:rFonts w:asciiTheme="minorEastAsia" w:hAnsiTheme="minorEastAsia" w:cstheme="minorEastAsia" w:hint="eastAsia"/>
          <w:kern w:val="0"/>
          <w:sz w:val="24"/>
          <w:lang w:val="zh-CN"/>
        </w:rPr>
        <w:t>师资队伍</w:t>
      </w:r>
    </w:p>
    <w:p w:rsidR="00852225" w:rsidRPr="00C354DA" w:rsidRDefault="00F64724">
      <w:pPr>
        <w:rPr>
          <w:rFonts w:asciiTheme="minorEastAsia" w:hAnsiTheme="minorEastAsia" w:cstheme="minorEastAsia"/>
          <w:sz w:val="24"/>
        </w:rPr>
      </w:pPr>
      <w:r w:rsidRPr="00C354DA">
        <w:rPr>
          <w:rFonts w:asciiTheme="minorEastAsia" w:hAnsiTheme="minorEastAsia" w:cstheme="minorEastAsia" w:hint="eastAsia"/>
          <w:sz w:val="24"/>
        </w:rPr>
        <w:t xml:space="preserve">　　本项目的</w:t>
      </w:r>
      <w:r w:rsidR="002D7AEE" w:rsidRPr="00C354DA">
        <w:rPr>
          <w:rFonts w:asciiTheme="minorEastAsia" w:hAnsiTheme="minorEastAsia" w:cstheme="minorEastAsia" w:hint="eastAsia"/>
          <w:sz w:val="24"/>
        </w:rPr>
        <w:t>师资评聘严格按照协议</w:t>
      </w:r>
      <w:r w:rsidRPr="00C354DA">
        <w:rPr>
          <w:rFonts w:asciiTheme="minorEastAsia" w:hAnsiTheme="minorEastAsia" w:cstheme="minorEastAsia" w:hint="eastAsia"/>
          <w:sz w:val="24"/>
        </w:rPr>
        <w:t>执行。外籍教师为澳大利亚联邦大学</w:t>
      </w:r>
      <w:r w:rsidR="002D7AEE" w:rsidRPr="00C354DA">
        <w:rPr>
          <w:rFonts w:asciiTheme="minorEastAsia" w:hAnsiTheme="minorEastAsia" w:cstheme="minorEastAsia" w:hint="eastAsia"/>
          <w:sz w:val="24"/>
        </w:rPr>
        <w:t>在职教师，在</w:t>
      </w:r>
      <w:r w:rsidR="00B437A4" w:rsidRPr="00C354DA">
        <w:rPr>
          <w:rFonts w:asciiTheme="minorEastAsia" w:hAnsiTheme="minorEastAsia" w:cstheme="minorEastAsia" w:hint="eastAsia"/>
          <w:sz w:val="24"/>
        </w:rPr>
        <w:t>相关学科领域</w:t>
      </w:r>
      <w:r w:rsidR="002D7AEE" w:rsidRPr="00C354DA">
        <w:rPr>
          <w:rFonts w:asciiTheme="minorEastAsia" w:hAnsiTheme="minorEastAsia" w:cstheme="minorEastAsia" w:hint="eastAsia"/>
          <w:sz w:val="24"/>
        </w:rPr>
        <w:t>内拥有</w:t>
      </w:r>
      <w:r w:rsidR="00B437A4" w:rsidRPr="00C354DA">
        <w:rPr>
          <w:rFonts w:asciiTheme="minorEastAsia" w:hAnsiTheme="minorEastAsia" w:cstheme="minorEastAsia" w:hint="eastAsia"/>
          <w:sz w:val="24"/>
        </w:rPr>
        <w:t>硕士及以上学历，具有丰富的教学经验。中方教师为我校建工</w:t>
      </w:r>
      <w:r w:rsidR="002D7AEE" w:rsidRPr="00C354DA">
        <w:rPr>
          <w:rFonts w:asciiTheme="minorEastAsia" w:hAnsiTheme="minorEastAsia" w:cstheme="minorEastAsia" w:hint="eastAsia"/>
          <w:sz w:val="24"/>
        </w:rPr>
        <w:t>学院</w:t>
      </w:r>
      <w:r w:rsidR="00BE02A3" w:rsidRPr="00C354DA">
        <w:rPr>
          <w:rFonts w:asciiTheme="minorEastAsia" w:hAnsiTheme="minorEastAsia" w:cstheme="minorEastAsia" w:hint="eastAsia"/>
          <w:sz w:val="24"/>
        </w:rPr>
        <w:t>的专业教师，</w:t>
      </w:r>
      <w:r w:rsidR="002D7AEE" w:rsidRPr="00C354DA">
        <w:rPr>
          <w:rFonts w:asciiTheme="minorEastAsia" w:hAnsiTheme="minorEastAsia" w:cstheme="minorEastAsia" w:hint="eastAsia"/>
          <w:sz w:val="24"/>
        </w:rPr>
        <w:t>具有副教授以上职称或海外留学经历，教学经验丰富。</w:t>
      </w:r>
    </w:p>
    <w:p w:rsidR="00852225" w:rsidRPr="00C354DA" w:rsidRDefault="002D7AEE">
      <w:pPr>
        <w:snapToGrid w:val="0"/>
        <w:rPr>
          <w:rFonts w:asciiTheme="minorEastAsia" w:hAnsiTheme="minorEastAsia" w:cstheme="minorEastAsia"/>
          <w:bCs/>
          <w:sz w:val="24"/>
        </w:rPr>
      </w:pPr>
      <w:r w:rsidRPr="00C354DA">
        <w:rPr>
          <w:rFonts w:asciiTheme="minorEastAsia" w:hAnsiTheme="minorEastAsia" w:cstheme="minorEastAsia" w:hint="eastAsia"/>
          <w:bCs/>
          <w:sz w:val="24"/>
        </w:rPr>
        <w:t xml:space="preserve">    5.培养质量</w:t>
      </w:r>
    </w:p>
    <w:p w:rsidR="00852225" w:rsidRPr="00C354DA" w:rsidRDefault="00295FE0" w:rsidP="00521A9E">
      <w:pPr>
        <w:snapToGrid w:val="0"/>
        <w:ind w:firstLineChars="200" w:firstLine="480"/>
        <w:outlineLvl w:val="0"/>
        <w:rPr>
          <w:rFonts w:asciiTheme="minorEastAsia" w:hAnsiTheme="minorEastAsia" w:cstheme="minorEastAsia"/>
          <w:sz w:val="24"/>
        </w:rPr>
      </w:pPr>
      <w:r w:rsidRPr="00C354DA">
        <w:rPr>
          <w:rFonts w:asciiTheme="minorEastAsia" w:hAnsiTheme="minorEastAsia" w:cstheme="minorEastAsia" w:hint="eastAsia"/>
          <w:sz w:val="24"/>
        </w:rPr>
        <w:t>本项目毕业要求标准明确。2013级</w:t>
      </w:r>
      <w:r w:rsidR="002D7AEE" w:rsidRPr="00C354DA">
        <w:rPr>
          <w:rFonts w:asciiTheme="minorEastAsia" w:hAnsiTheme="minorEastAsia" w:cstheme="minorEastAsia" w:hint="eastAsia"/>
          <w:sz w:val="24"/>
        </w:rPr>
        <w:t>学生在学校规定的修读年限内，</w:t>
      </w:r>
      <w:r w:rsidRPr="00C354DA">
        <w:rPr>
          <w:rFonts w:asciiTheme="minorEastAsia" w:hAnsiTheme="minorEastAsia" w:cstheme="minorEastAsia" w:hint="eastAsia"/>
          <w:sz w:val="24"/>
        </w:rPr>
        <w:t>修完教学计划规定的内容，德、智、体各方面达到毕业要求和学位</w:t>
      </w:r>
      <w:r w:rsidR="00327777" w:rsidRPr="00C354DA">
        <w:rPr>
          <w:rFonts w:asciiTheme="minorEastAsia" w:hAnsiTheme="minorEastAsia" w:cstheme="minorEastAsia" w:hint="eastAsia"/>
          <w:sz w:val="24"/>
        </w:rPr>
        <w:t>授予</w:t>
      </w:r>
      <w:r w:rsidRPr="00C354DA">
        <w:rPr>
          <w:rFonts w:asciiTheme="minorEastAsia" w:hAnsiTheme="minorEastAsia" w:cstheme="minorEastAsia" w:hint="eastAsia"/>
          <w:sz w:val="24"/>
        </w:rPr>
        <w:t>要求的，颁发我校</w:t>
      </w:r>
      <w:r w:rsidR="002D7AEE" w:rsidRPr="00C354DA">
        <w:rPr>
          <w:rFonts w:asciiTheme="minorEastAsia" w:hAnsiTheme="minorEastAsia" w:cstheme="minorEastAsia" w:hint="eastAsia"/>
          <w:sz w:val="24"/>
        </w:rPr>
        <w:t>毕业证书</w:t>
      </w:r>
      <w:r w:rsidRPr="00C354DA">
        <w:rPr>
          <w:rFonts w:asciiTheme="minorEastAsia" w:hAnsiTheme="minorEastAsia" w:cstheme="minorEastAsia" w:hint="eastAsia"/>
          <w:sz w:val="24"/>
        </w:rPr>
        <w:t>和学位证书</w:t>
      </w:r>
      <w:r w:rsidR="00692F65" w:rsidRPr="00C354DA">
        <w:rPr>
          <w:rFonts w:asciiTheme="minorEastAsia" w:hAnsiTheme="minorEastAsia" w:cstheme="minorEastAsia" w:hint="eastAsia"/>
          <w:sz w:val="24"/>
        </w:rPr>
        <w:t xml:space="preserve">； </w:t>
      </w:r>
      <w:r w:rsidR="009034F5" w:rsidRPr="00C354DA">
        <w:rPr>
          <w:rFonts w:asciiTheme="minorEastAsia" w:hAnsiTheme="minorEastAsia" w:cstheme="minorEastAsia" w:hint="eastAsia"/>
          <w:sz w:val="24"/>
        </w:rPr>
        <w:t>2+2学生</w:t>
      </w:r>
      <w:r w:rsidR="00310CA8" w:rsidRPr="00C354DA">
        <w:rPr>
          <w:rFonts w:asciiTheme="minorEastAsia" w:hAnsiTheme="minorEastAsia" w:cstheme="minorEastAsia" w:hint="eastAsia"/>
          <w:sz w:val="24"/>
        </w:rPr>
        <w:t>如果完成相应</w:t>
      </w:r>
      <w:r w:rsidR="00B83682" w:rsidRPr="00B83682">
        <w:rPr>
          <w:rFonts w:ascii="宋体" w:eastAsia="宋体" w:hAnsi="宋体" w:cs="宋体" w:hint="eastAsia"/>
          <w:sz w:val="24"/>
        </w:rPr>
        <w:t>学分</w:t>
      </w:r>
      <w:r w:rsidR="00310CA8" w:rsidRPr="00C354DA">
        <w:rPr>
          <w:rFonts w:asciiTheme="minorEastAsia" w:hAnsiTheme="minorEastAsia" w:cstheme="minorEastAsia" w:hint="eastAsia"/>
          <w:sz w:val="24"/>
        </w:rPr>
        <w:t>还将</w:t>
      </w:r>
      <w:r w:rsidR="00B83682" w:rsidRPr="00B83682">
        <w:rPr>
          <w:rFonts w:ascii="宋体" w:eastAsia="宋体" w:hAnsi="宋体" w:cs="宋体" w:hint="eastAsia"/>
          <w:sz w:val="24"/>
        </w:rPr>
        <w:t>获得蒙纳士大学土木与环境工程学士</w:t>
      </w:r>
      <w:r w:rsidR="00692F65" w:rsidRPr="00C354DA">
        <w:rPr>
          <w:rFonts w:asciiTheme="minorEastAsia" w:hAnsiTheme="minorEastAsia" w:cstheme="minorEastAsia" w:hint="eastAsia"/>
          <w:sz w:val="24"/>
        </w:rPr>
        <w:t>学位证书</w:t>
      </w:r>
      <w:r w:rsidR="002D7AEE" w:rsidRPr="00C354DA">
        <w:rPr>
          <w:rFonts w:asciiTheme="minorEastAsia" w:hAnsiTheme="minorEastAsia" w:cstheme="minorEastAsia" w:hint="eastAsia"/>
          <w:sz w:val="24"/>
        </w:rPr>
        <w:t>。</w:t>
      </w:r>
    </w:p>
    <w:p w:rsidR="00852225" w:rsidRPr="00C354DA" w:rsidRDefault="002D7AEE">
      <w:pPr>
        <w:numPr>
          <w:ilvl w:val="0"/>
          <w:numId w:val="1"/>
        </w:numPr>
        <w:autoSpaceDE w:val="0"/>
        <w:autoSpaceDN w:val="0"/>
        <w:adjustRightInd w:val="0"/>
        <w:spacing w:line="260" w:lineRule="auto"/>
        <w:jc w:val="left"/>
        <w:rPr>
          <w:rFonts w:asciiTheme="majorEastAsia" w:eastAsiaTheme="majorEastAsia" w:hAnsiTheme="majorEastAsia" w:cstheme="majorEastAsia"/>
          <w:b/>
          <w:bCs/>
          <w:sz w:val="28"/>
          <w:szCs w:val="28"/>
        </w:rPr>
      </w:pPr>
      <w:r w:rsidRPr="00C354DA">
        <w:rPr>
          <w:rFonts w:asciiTheme="majorEastAsia" w:eastAsiaTheme="majorEastAsia" w:hAnsiTheme="majorEastAsia" w:cstheme="majorEastAsia" w:hint="eastAsia"/>
          <w:b/>
          <w:bCs/>
          <w:sz w:val="28"/>
          <w:szCs w:val="28"/>
        </w:rPr>
        <w:t>教学质量监控</w:t>
      </w:r>
    </w:p>
    <w:p w:rsidR="00327777" w:rsidRPr="00C354DA" w:rsidRDefault="00327777" w:rsidP="007C32C7">
      <w:pPr>
        <w:snapToGrid w:val="0"/>
        <w:ind w:left="420"/>
        <w:rPr>
          <w:rFonts w:asciiTheme="minorEastAsia" w:hAnsiTheme="minorEastAsia" w:cstheme="minorEastAsia"/>
          <w:sz w:val="24"/>
        </w:rPr>
      </w:pPr>
      <w:r w:rsidRPr="00C354DA">
        <w:rPr>
          <w:rFonts w:asciiTheme="minorEastAsia" w:hAnsiTheme="minorEastAsia" w:cstheme="minorEastAsia" w:hint="eastAsia"/>
          <w:sz w:val="24"/>
        </w:rPr>
        <w:t>本项目</w:t>
      </w:r>
      <w:r w:rsidR="007C32C7" w:rsidRPr="00C354DA">
        <w:rPr>
          <w:rFonts w:asciiTheme="minorEastAsia" w:hAnsiTheme="minorEastAsia" w:cstheme="minorEastAsia" w:hint="eastAsia"/>
          <w:sz w:val="24"/>
        </w:rPr>
        <w:t>依托学校</w:t>
      </w:r>
      <w:r w:rsidR="00295FE0" w:rsidRPr="00C354DA">
        <w:rPr>
          <w:rFonts w:asciiTheme="minorEastAsia" w:hAnsiTheme="minorEastAsia" w:cstheme="minorEastAsia" w:hint="eastAsia"/>
          <w:sz w:val="24"/>
        </w:rPr>
        <w:t>已有的</w:t>
      </w:r>
      <w:r w:rsidR="007C32C7" w:rsidRPr="00C354DA">
        <w:rPr>
          <w:rFonts w:asciiTheme="minorEastAsia" w:hAnsiTheme="minorEastAsia" w:cstheme="minorEastAsia" w:hint="eastAsia"/>
          <w:sz w:val="24"/>
        </w:rPr>
        <w:t>教学质量监督机制，针对合作办学特点</w:t>
      </w:r>
      <w:r w:rsidR="00295FE0" w:rsidRPr="00C354DA">
        <w:rPr>
          <w:rFonts w:asciiTheme="minorEastAsia" w:hAnsiTheme="minorEastAsia" w:cstheme="minorEastAsia" w:hint="eastAsia"/>
          <w:sz w:val="24"/>
        </w:rPr>
        <w:t>，完善和优化</w:t>
      </w:r>
    </w:p>
    <w:p w:rsidR="00327777" w:rsidRPr="00C354DA" w:rsidRDefault="00295FE0" w:rsidP="00327777">
      <w:pPr>
        <w:snapToGrid w:val="0"/>
        <w:rPr>
          <w:rFonts w:asciiTheme="minorEastAsia" w:hAnsiTheme="minorEastAsia" w:cstheme="minorEastAsia"/>
          <w:sz w:val="24"/>
        </w:rPr>
      </w:pPr>
      <w:r w:rsidRPr="00C354DA">
        <w:rPr>
          <w:rFonts w:asciiTheme="minorEastAsia" w:hAnsiTheme="minorEastAsia" w:cstheme="minorEastAsia" w:hint="eastAsia"/>
          <w:sz w:val="24"/>
        </w:rPr>
        <w:t>教学质量监督保障机制。设有教学督导组、巡课制度、以及教学质量反馈机制和激励机制，</w:t>
      </w:r>
      <w:r w:rsidR="007C32C7" w:rsidRPr="00C354DA">
        <w:rPr>
          <w:rFonts w:asciiTheme="minorEastAsia" w:hAnsiTheme="minorEastAsia" w:cstheme="minorEastAsia" w:hint="eastAsia"/>
          <w:sz w:val="24"/>
        </w:rPr>
        <w:t>监督课程</w:t>
      </w:r>
      <w:r w:rsidRPr="00C354DA">
        <w:rPr>
          <w:rFonts w:asciiTheme="minorEastAsia" w:hAnsiTheme="minorEastAsia" w:cstheme="minorEastAsia" w:hint="eastAsia"/>
          <w:sz w:val="24"/>
        </w:rPr>
        <w:t>质量，确保引进优质师资和优质教学材料。</w:t>
      </w:r>
    </w:p>
    <w:p w:rsidR="007C32C7" w:rsidRPr="00C354DA" w:rsidRDefault="00295FE0" w:rsidP="00327777">
      <w:pPr>
        <w:snapToGrid w:val="0"/>
        <w:ind w:firstLineChars="200" w:firstLine="480"/>
        <w:rPr>
          <w:rFonts w:asciiTheme="minorEastAsia" w:hAnsiTheme="minorEastAsia" w:cstheme="minorEastAsia"/>
          <w:sz w:val="24"/>
        </w:rPr>
      </w:pPr>
      <w:r w:rsidRPr="00C354DA">
        <w:rPr>
          <w:rFonts w:asciiTheme="minorEastAsia" w:hAnsiTheme="minorEastAsia" w:cstheme="minorEastAsia" w:hint="eastAsia"/>
          <w:sz w:val="24"/>
        </w:rPr>
        <w:t>在文凭证书管理上，</w:t>
      </w:r>
      <w:r w:rsidR="007C32C7" w:rsidRPr="00C354DA">
        <w:rPr>
          <w:rFonts w:asciiTheme="minorEastAsia" w:hAnsiTheme="minorEastAsia" w:cstheme="minorEastAsia" w:hint="eastAsia"/>
          <w:sz w:val="24"/>
        </w:rPr>
        <w:t>项目遵照符合法规要求的、规范的办法进行文凭证书管理，所颁发的文凭证书与招生简章中的承诺相符。</w:t>
      </w:r>
    </w:p>
    <w:p w:rsidR="00852225" w:rsidRPr="00C354DA" w:rsidRDefault="002D7AEE">
      <w:pPr>
        <w:numPr>
          <w:ilvl w:val="0"/>
          <w:numId w:val="1"/>
        </w:numPr>
        <w:autoSpaceDE w:val="0"/>
        <w:autoSpaceDN w:val="0"/>
        <w:adjustRightInd w:val="0"/>
        <w:spacing w:line="260" w:lineRule="auto"/>
        <w:jc w:val="left"/>
        <w:rPr>
          <w:rFonts w:hAnsi="宋体" w:cs="宋体"/>
          <w:b/>
          <w:bCs/>
          <w:sz w:val="28"/>
          <w:szCs w:val="28"/>
        </w:rPr>
      </w:pPr>
      <w:r w:rsidRPr="00C354DA">
        <w:rPr>
          <w:rFonts w:asciiTheme="majorEastAsia" w:eastAsiaTheme="majorEastAsia" w:hAnsiTheme="majorEastAsia" w:cstheme="majorEastAsia" w:hint="eastAsia"/>
          <w:b/>
          <w:bCs/>
          <w:sz w:val="28"/>
          <w:szCs w:val="28"/>
        </w:rPr>
        <w:t>财务管理状况</w:t>
      </w:r>
    </w:p>
    <w:p w:rsidR="00852225" w:rsidRPr="00C354DA" w:rsidRDefault="002D7AEE" w:rsidP="00327777">
      <w:pPr>
        <w:autoSpaceDE w:val="0"/>
        <w:autoSpaceDN w:val="0"/>
        <w:adjustRightInd w:val="0"/>
        <w:spacing w:line="260" w:lineRule="auto"/>
        <w:jc w:val="left"/>
        <w:rPr>
          <w:rFonts w:ascii="宋体" w:eastAsia="宋体" w:hAnsi="宋体" w:cs="宋体"/>
          <w:sz w:val="24"/>
        </w:rPr>
      </w:pPr>
      <w:r w:rsidRPr="00C354DA">
        <w:rPr>
          <w:rFonts w:asciiTheme="majorEastAsia" w:eastAsiaTheme="majorEastAsia" w:hAnsiTheme="majorEastAsia" w:cstheme="majorEastAsia" w:hint="eastAsia"/>
          <w:b/>
          <w:bCs/>
          <w:sz w:val="28"/>
          <w:szCs w:val="28"/>
        </w:rPr>
        <w:t xml:space="preserve">   </w:t>
      </w:r>
      <w:r w:rsidR="007C32C7" w:rsidRPr="00C354DA">
        <w:rPr>
          <w:rFonts w:asciiTheme="minorEastAsia" w:hAnsiTheme="minorEastAsia" w:cstheme="minorEastAsia" w:hint="eastAsia"/>
          <w:sz w:val="24"/>
        </w:rPr>
        <w:t>本项目财务管理和核算由学校计财处负责，项目收支业务在学校统一办理，</w:t>
      </w:r>
      <w:r w:rsidR="007C32C7" w:rsidRPr="00C354DA">
        <w:rPr>
          <w:rFonts w:asciiTheme="minorEastAsia" w:hAnsiTheme="minorEastAsia" w:cstheme="minorEastAsia" w:hint="eastAsia"/>
          <w:sz w:val="24"/>
        </w:rPr>
        <w:lastRenderedPageBreak/>
        <w:t>会计核算执行《高等学校会计制度》，教育收费、预算管理、资金管理等执行国家有关法律法规和上级主管部门的有关规定及学校财务管理规章制度。本项目收费依据浙江省物价局（浙价费{2013}201号）审批的标准执行，在招生过程中向社会公布，学校以人民币收费，学生按年度缴费。项目收支全额纳入</w:t>
      </w:r>
      <w:r w:rsidR="00C56E1B" w:rsidRPr="00C354DA">
        <w:rPr>
          <w:rFonts w:asciiTheme="minorEastAsia" w:hAnsiTheme="minorEastAsia" w:cstheme="minorEastAsia" w:hint="eastAsia"/>
          <w:sz w:val="24"/>
        </w:rPr>
        <w:t>学校预算管理，按照成本补偿原则，按双方协议分配所得收入。本</w:t>
      </w:r>
      <w:r w:rsidR="007C32C7" w:rsidRPr="00C354DA">
        <w:rPr>
          <w:rFonts w:asciiTheme="minorEastAsia" w:hAnsiTheme="minorEastAsia" w:cstheme="minorEastAsia" w:hint="eastAsia"/>
          <w:sz w:val="24"/>
        </w:rPr>
        <w:t>项目开展以来，学校投入大量资金，建设满足合作办学条件的教学、实验、学生生活等设施。无抽逃办学资金、挪用办学经费情况，也未有从事盈利性经营活动。</w:t>
      </w:r>
    </w:p>
    <w:p w:rsidR="00852225" w:rsidRPr="00C354DA" w:rsidRDefault="002D7AEE">
      <w:pPr>
        <w:numPr>
          <w:ilvl w:val="0"/>
          <w:numId w:val="1"/>
        </w:numPr>
        <w:autoSpaceDE w:val="0"/>
        <w:autoSpaceDN w:val="0"/>
        <w:adjustRightInd w:val="0"/>
        <w:spacing w:line="260" w:lineRule="auto"/>
        <w:jc w:val="left"/>
        <w:rPr>
          <w:rFonts w:ascii="宋体" w:eastAsia="宋体" w:hAnsi="宋体" w:cs="宋体"/>
          <w:b/>
          <w:bCs/>
          <w:sz w:val="28"/>
          <w:szCs w:val="28"/>
        </w:rPr>
      </w:pPr>
      <w:r w:rsidRPr="00C354DA">
        <w:rPr>
          <w:rFonts w:ascii="宋体" w:eastAsia="宋体" w:hAnsi="宋体" w:cs="宋体"/>
          <w:b/>
          <w:bCs/>
          <w:sz w:val="28"/>
          <w:szCs w:val="28"/>
          <w:lang w:val="zh-CN"/>
        </w:rPr>
        <w:t xml:space="preserve"> </w:t>
      </w:r>
      <w:r w:rsidRPr="00C354DA">
        <w:rPr>
          <w:rFonts w:ascii="宋体" w:eastAsia="宋体" w:hAnsi="宋体" w:cs="宋体"/>
          <w:b/>
          <w:bCs/>
          <w:sz w:val="28"/>
          <w:szCs w:val="28"/>
        </w:rPr>
        <w:t>社会评价情况</w:t>
      </w:r>
    </w:p>
    <w:p w:rsidR="00852225" w:rsidRPr="00C354DA" w:rsidRDefault="002D7AEE">
      <w:pPr>
        <w:numPr>
          <w:ilvl w:val="0"/>
          <w:numId w:val="4"/>
        </w:numPr>
        <w:autoSpaceDE w:val="0"/>
        <w:autoSpaceDN w:val="0"/>
        <w:adjustRightInd w:val="0"/>
        <w:spacing w:line="260" w:lineRule="auto"/>
        <w:jc w:val="left"/>
        <w:rPr>
          <w:rFonts w:hAnsi="宋体" w:cs="宋体"/>
          <w:sz w:val="24"/>
        </w:rPr>
      </w:pPr>
      <w:r w:rsidRPr="00C354DA">
        <w:rPr>
          <w:rFonts w:hAnsi="宋体" w:cs="宋体" w:hint="eastAsia"/>
          <w:sz w:val="24"/>
        </w:rPr>
        <w:t>办学单位内部效益</w:t>
      </w:r>
    </w:p>
    <w:p w:rsidR="00D04825" w:rsidRPr="00C354DA" w:rsidRDefault="002D7AEE" w:rsidP="00327777">
      <w:pPr>
        <w:autoSpaceDE w:val="0"/>
        <w:autoSpaceDN w:val="0"/>
        <w:adjustRightInd w:val="0"/>
        <w:spacing w:line="260" w:lineRule="auto"/>
        <w:ind w:firstLine="480"/>
        <w:jc w:val="left"/>
        <w:rPr>
          <w:rFonts w:hAnsi="宋体" w:cs="宋体"/>
          <w:sz w:val="24"/>
        </w:rPr>
      </w:pPr>
      <w:r w:rsidRPr="00C354DA">
        <w:rPr>
          <w:rFonts w:hAnsi="宋体" w:cs="宋体" w:hint="eastAsia"/>
          <w:sz w:val="24"/>
        </w:rPr>
        <w:t>虽然</w:t>
      </w:r>
      <w:r w:rsidR="00C56E1B" w:rsidRPr="00C354DA">
        <w:rPr>
          <w:rFonts w:hAnsi="宋体" w:cs="宋体" w:hint="eastAsia"/>
          <w:sz w:val="24"/>
        </w:rPr>
        <w:t>本项目目前</w:t>
      </w:r>
      <w:r w:rsidRPr="00C354DA">
        <w:rPr>
          <w:rFonts w:hAnsi="宋体" w:cs="宋体" w:hint="eastAsia"/>
          <w:sz w:val="24"/>
        </w:rPr>
        <w:t>只有</w:t>
      </w:r>
      <w:r w:rsidR="00012B70" w:rsidRPr="00C354DA">
        <w:rPr>
          <w:rFonts w:hAnsi="宋体" w:cs="宋体" w:hint="eastAsia"/>
          <w:sz w:val="24"/>
        </w:rPr>
        <w:t>一届学生，但我校</w:t>
      </w:r>
      <w:r w:rsidRPr="00C354DA">
        <w:rPr>
          <w:rFonts w:hAnsi="宋体" w:cs="宋体" w:hint="eastAsia"/>
          <w:sz w:val="24"/>
        </w:rPr>
        <w:t>教师和学生对</w:t>
      </w:r>
      <w:r w:rsidRPr="00C354DA">
        <w:rPr>
          <w:rFonts w:hAnsi="宋体" w:cs="宋体" w:hint="eastAsia"/>
          <w:sz w:val="24"/>
        </w:rPr>
        <w:t>FedUni</w:t>
      </w:r>
      <w:r w:rsidR="00327777" w:rsidRPr="00C354DA">
        <w:rPr>
          <w:rFonts w:hAnsi="宋体" w:cs="宋体" w:hint="eastAsia"/>
          <w:sz w:val="24"/>
        </w:rPr>
        <w:t>课程设置的科学性和专业的先进性予以高度肯定和认同。</w:t>
      </w:r>
      <w:r w:rsidRPr="00C354DA">
        <w:rPr>
          <w:rFonts w:hAnsi="宋体" w:cs="宋体" w:hint="eastAsia"/>
          <w:sz w:val="24"/>
        </w:rPr>
        <w:t>这个项目对我校的教学实践、学科建设、科学研究等产生了良好的影响及辐射作用。</w:t>
      </w:r>
    </w:p>
    <w:p w:rsidR="00852225" w:rsidRPr="00C354DA" w:rsidRDefault="002D7AEE" w:rsidP="00327777">
      <w:pPr>
        <w:autoSpaceDE w:val="0"/>
        <w:autoSpaceDN w:val="0"/>
        <w:adjustRightInd w:val="0"/>
        <w:spacing w:line="260" w:lineRule="auto"/>
        <w:ind w:firstLine="480"/>
        <w:jc w:val="left"/>
        <w:rPr>
          <w:rFonts w:hAnsi="宋体" w:cs="宋体"/>
          <w:sz w:val="24"/>
        </w:rPr>
      </w:pPr>
      <w:r w:rsidRPr="00C354DA">
        <w:rPr>
          <w:rFonts w:hAnsi="宋体" w:cs="宋体" w:hint="eastAsia"/>
          <w:sz w:val="24"/>
        </w:rPr>
        <w:t>另外，我校已经有</w:t>
      </w:r>
      <w:r w:rsidRPr="00C354DA">
        <w:rPr>
          <w:rFonts w:hAnsi="宋体" w:cs="宋体" w:hint="eastAsia"/>
          <w:sz w:val="24"/>
        </w:rPr>
        <w:t>18</w:t>
      </w:r>
      <w:r w:rsidRPr="00C354DA">
        <w:rPr>
          <w:rFonts w:hAnsi="宋体" w:cs="宋体" w:hint="eastAsia"/>
          <w:sz w:val="24"/>
        </w:rPr>
        <w:t>名同学直接选择去</w:t>
      </w:r>
      <w:r w:rsidRPr="00C354DA">
        <w:rPr>
          <w:rFonts w:hAnsi="宋体" w:cs="宋体" w:hint="eastAsia"/>
          <w:sz w:val="24"/>
          <w:lang w:val="zh-CN"/>
        </w:rPr>
        <w:t>澳大利亚蒙纳士大学留学深造也充分表明学生对两校合作办学的认可。</w:t>
      </w:r>
    </w:p>
    <w:p w:rsidR="00852225" w:rsidRPr="00C354DA" w:rsidRDefault="002D7AEE">
      <w:pPr>
        <w:numPr>
          <w:ilvl w:val="0"/>
          <w:numId w:val="4"/>
        </w:numPr>
        <w:autoSpaceDE w:val="0"/>
        <w:autoSpaceDN w:val="0"/>
        <w:adjustRightInd w:val="0"/>
        <w:spacing w:line="260" w:lineRule="auto"/>
        <w:jc w:val="left"/>
        <w:rPr>
          <w:rFonts w:hAnsi="宋体" w:cs="宋体"/>
          <w:sz w:val="24"/>
        </w:rPr>
      </w:pPr>
      <w:r w:rsidRPr="00C354DA">
        <w:rPr>
          <w:rFonts w:hAnsi="宋体" w:cs="宋体" w:hint="eastAsia"/>
          <w:sz w:val="24"/>
        </w:rPr>
        <w:t>办学单位外部效益</w:t>
      </w:r>
    </w:p>
    <w:p w:rsidR="00852225" w:rsidRPr="00C354DA" w:rsidRDefault="002D7AEE">
      <w:pPr>
        <w:autoSpaceDE w:val="0"/>
        <w:autoSpaceDN w:val="0"/>
        <w:adjustRightInd w:val="0"/>
        <w:spacing w:line="260" w:lineRule="auto"/>
        <w:jc w:val="left"/>
        <w:rPr>
          <w:rFonts w:hAnsi="宋体" w:cs="宋体"/>
          <w:sz w:val="24"/>
        </w:rPr>
      </w:pPr>
      <w:r w:rsidRPr="00C354DA">
        <w:rPr>
          <w:rFonts w:hAnsi="宋体" w:cs="宋体" w:hint="eastAsia"/>
          <w:sz w:val="24"/>
        </w:rPr>
        <w:t xml:space="preserve">    </w:t>
      </w:r>
      <w:r w:rsidR="00C56E1B" w:rsidRPr="00C354DA">
        <w:rPr>
          <w:rFonts w:hAnsi="宋体" w:cs="宋体" w:hint="eastAsia"/>
          <w:sz w:val="24"/>
        </w:rPr>
        <w:t>本项目引进澳大利亚</w:t>
      </w:r>
      <w:r w:rsidRPr="00C354DA">
        <w:rPr>
          <w:rFonts w:hAnsi="宋体" w:cs="宋体" w:hint="eastAsia"/>
          <w:sz w:val="24"/>
        </w:rPr>
        <w:t>先进</w:t>
      </w:r>
      <w:r w:rsidR="00C56E1B" w:rsidRPr="00C354DA">
        <w:rPr>
          <w:rFonts w:hAnsi="宋体" w:cs="宋体" w:hint="eastAsia"/>
          <w:sz w:val="24"/>
        </w:rPr>
        <w:t>的</w:t>
      </w:r>
      <w:r w:rsidRPr="00C354DA">
        <w:rPr>
          <w:rFonts w:hAnsi="宋体" w:cs="宋体" w:hint="eastAsia"/>
          <w:sz w:val="24"/>
        </w:rPr>
        <w:t>教学理念和优质的教育资源，</w:t>
      </w:r>
      <w:r w:rsidR="00D04825" w:rsidRPr="00C354DA">
        <w:rPr>
          <w:rFonts w:hAnsi="宋体" w:cs="宋体" w:hint="eastAsia"/>
          <w:sz w:val="24"/>
        </w:rPr>
        <w:t>必将对</w:t>
      </w:r>
      <w:r w:rsidRPr="00C354DA">
        <w:rPr>
          <w:rFonts w:hAnsi="宋体" w:cs="宋体" w:hint="eastAsia"/>
          <w:sz w:val="24"/>
        </w:rPr>
        <w:t>我省培养具有国际化视野和通晓国际规则的建筑工程专门人才起示范和引领作用。</w:t>
      </w:r>
    </w:p>
    <w:p w:rsidR="00852225" w:rsidRPr="00C354DA" w:rsidRDefault="002D7AEE">
      <w:pPr>
        <w:numPr>
          <w:ilvl w:val="0"/>
          <w:numId w:val="1"/>
        </w:numPr>
        <w:autoSpaceDE w:val="0"/>
        <w:autoSpaceDN w:val="0"/>
        <w:adjustRightInd w:val="0"/>
        <w:spacing w:line="260" w:lineRule="auto"/>
        <w:jc w:val="left"/>
        <w:rPr>
          <w:rFonts w:asciiTheme="majorEastAsia" w:eastAsiaTheme="majorEastAsia" w:hAnsiTheme="majorEastAsia" w:cstheme="majorEastAsia"/>
          <w:b/>
          <w:bCs/>
          <w:sz w:val="28"/>
          <w:szCs w:val="28"/>
          <w:lang w:val="zh-CN"/>
        </w:rPr>
      </w:pPr>
      <w:r w:rsidRPr="00C354DA">
        <w:rPr>
          <w:rFonts w:asciiTheme="majorEastAsia" w:eastAsiaTheme="majorEastAsia" w:hAnsiTheme="majorEastAsia" w:cstheme="majorEastAsia" w:hint="eastAsia"/>
          <w:b/>
          <w:bCs/>
          <w:sz w:val="28"/>
          <w:szCs w:val="28"/>
          <w:lang w:val="zh-CN"/>
        </w:rPr>
        <w:t>办学特色及努力方向</w:t>
      </w:r>
    </w:p>
    <w:p w:rsidR="00852225" w:rsidRPr="00C354DA" w:rsidRDefault="002D7AEE">
      <w:pPr>
        <w:numPr>
          <w:ilvl w:val="0"/>
          <w:numId w:val="5"/>
        </w:numPr>
        <w:autoSpaceDE w:val="0"/>
        <w:autoSpaceDN w:val="0"/>
        <w:adjustRightInd w:val="0"/>
        <w:spacing w:line="260" w:lineRule="auto"/>
        <w:jc w:val="left"/>
        <w:rPr>
          <w:rFonts w:asciiTheme="minorEastAsia" w:hAnsiTheme="minorEastAsia" w:cstheme="minorEastAsia"/>
          <w:sz w:val="24"/>
          <w:lang w:val="zh-CN"/>
        </w:rPr>
      </w:pPr>
      <w:r w:rsidRPr="00C354DA">
        <w:rPr>
          <w:rFonts w:asciiTheme="minorEastAsia" w:hAnsiTheme="minorEastAsia" w:cstheme="minorEastAsia" w:hint="eastAsia"/>
          <w:sz w:val="24"/>
          <w:lang w:val="zh-CN"/>
        </w:rPr>
        <w:t>办学特色</w:t>
      </w:r>
    </w:p>
    <w:p w:rsidR="00852225" w:rsidRPr="00C354DA" w:rsidRDefault="002D7AEE">
      <w:pPr>
        <w:autoSpaceDE w:val="0"/>
        <w:autoSpaceDN w:val="0"/>
        <w:adjustRightInd w:val="0"/>
        <w:spacing w:line="260" w:lineRule="auto"/>
        <w:jc w:val="left"/>
        <w:rPr>
          <w:rFonts w:asciiTheme="minorEastAsia" w:hAnsiTheme="minorEastAsia" w:cstheme="minorEastAsia"/>
          <w:sz w:val="24"/>
        </w:rPr>
      </w:pPr>
      <w:r w:rsidRPr="00C354DA">
        <w:rPr>
          <w:rFonts w:asciiTheme="minorEastAsia" w:hAnsiTheme="minorEastAsia" w:cstheme="minorEastAsia" w:hint="eastAsia"/>
          <w:sz w:val="24"/>
        </w:rPr>
        <w:t xml:space="preserve">    </w:t>
      </w:r>
      <w:r w:rsidR="00D04825" w:rsidRPr="00C354DA">
        <w:rPr>
          <w:rFonts w:asciiTheme="minorEastAsia" w:hAnsiTheme="minorEastAsia" w:cstheme="minorEastAsia" w:hint="eastAsia"/>
          <w:sz w:val="24"/>
        </w:rPr>
        <w:t>本项目</w:t>
      </w:r>
      <w:r w:rsidR="00D04825" w:rsidRPr="00C354DA">
        <w:rPr>
          <w:rFonts w:asciiTheme="minorEastAsia" w:hAnsiTheme="minorEastAsia" w:cstheme="minorEastAsia" w:hint="eastAsia"/>
          <w:sz w:val="24"/>
          <w:lang w:val="zh-CN"/>
        </w:rPr>
        <w:t>最大亮点是在我们国内传统的土木工程</w:t>
      </w:r>
      <w:r w:rsidRPr="00C354DA">
        <w:rPr>
          <w:rFonts w:asciiTheme="minorEastAsia" w:hAnsiTheme="minorEastAsia" w:cstheme="minorEastAsia" w:hint="eastAsia"/>
          <w:sz w:val="24"/>
          <w:lang w:val="zh-CN"/>
        </w:rPr>
        <w:t>课程</w:t>
      </w:r>
      <w:r w:rsidR="00D04825" w:rsidRPr="00C354DA">
        <w:rPr>
          <w:rFonts w:asciiTheme="minorEastAsia" w:hAnsiTheme="minorEastAsia" w:cstheme="minorEastAsia" w:hint="eastAsia"/>
          <w:sz w:val="24"/>
          <w:lang w:val="zh-CN"/>
        </w:rPr>
        <w:t>体系</w:t>
      </w:r>
      <w:r w:rsidRPr="00C354DA">
        <w:rPr>
          <w:rFonts w:asciiTheme="minorEastAsia" w:hAnsiTheme="minorEastAsia" w:cstheme="minorEastAsia" w:hint="eastAsia"/>
          <w:sz w:val="24"/>
          <w:lang w:val="zh-CN"/>
        </w:rPr>
        <w:t>基础上加入部分环境科学的课程，把建筑工程和环境工程两个学科知识有机结合，</w:t>
      </w:r>
      <w:r w:rsidRPr="00C354DA">
        <w:rPr>
          <w:rFonts w:asciiTheme="minorEastAsia" w:hAnsiTheme="minorEastAsia" w:cstheme="minorEastAsia" w:hint="eastAsia"/>
          <w:sz w:val="24"/>
        </w:rPr>
        <w:t>贴近建筑工程教育的国际前沿。</w:t>
      </w:r>
    </w:p>
    <w:p w:rsidR="00852225" w:rsidRPr="00C354DA" w:rsidRDefault="002D7AEE">
      <w:pPr>
        <w:numPr>
          <w:ilvl w:val="0"/>
          <w:numId w:val="5"/>
        </w:numPr>
        <w:autoSpaceDE w:val="0"/>
        <w:autoSpaceDN w:val="0"/>
        <w:adjustRightInd w:val="0"/>
        <w:spacing w:line="260" w:lineRule="auto"/>
        <w:jc w:val="left"/>
        <w:rPr>
          <w:rFonts w:asciiTheme="minorEastAsia" w:hAnsiTheme="minorEastAsia" w:cstheme="minorEastAsia"/>
          <w:sz w:val="24"/>
        </w:rPr>
      </w:pPr>
      <w:r w:rsidRPr="00C354DA">
        <w:rPr>
          <w:rFonts w:asciiTheme="minorEastAsia" w:hAnsiTheme="minorEastAsia" w:cstheme="minorEastAsia" w:hint="eastAsia"/>
          <w:sz w:val="24"/>
        </w:rPr>
        <w:t>努力方向</w:t>
      </w:r>
    </w:p>
    <w:p w:rsidR="00852225" w:rsidRPr="00C354DA" w:rsidRDefault="002D7AEE">
      <w:pPr>
        <w:autoSpaceDE w:val="0"/>
        <w:autoSpaceDN w:val="0"/>
        <w:adjustRightInd w:val="0"/>
        <w:spacing w:line="260" w:lineRule="auto"/>
        <w:jc w:val="left"/>
        <w:rPr>
          <w:rFonts w:asciiTheme="minorEastAsia" w:hAnsiTheme="minorEastAsia" w:cstheme="minorEastAsia"/>
          <w:sz w:val="24"/>
        </w:rPr>
      </w:pPr>
      <w:r w:rsidRPr="00C354DA">
        <w:rPr>
          <w:rFonts w:asciiTheme="minorEastAsia" w:hAnsiTheme="minorEastAsia" w:cstheme="minorEastAsia" w:hint="eastAsia"/>
          <w:sz w:val="24"/>
        </w:rPr>
        <w:t xml:space="preserve">    </w:t>
      </w:r>
      <w:r w:rsidR="00D04825" w:rsidRPr="00C354DA">
        <w:rPr>
          <w:rFonts w:asciiTheme="minorEastAsia" w:hAnsiTheme="minorEastAsia" w:cstheme="minorEastAsia" w:hint="eastAsia"/>
          <w:sz w:val="24"/>
        </w:rPr>
        <w:t>首先是严格执行两校的合作协议，确保教学秩序稳定有序；</w:t>
      </w:r>
      <w:r w:rsidRPr="00C354DA">
        <w:rPr>
          <w:rFonts w:asciiTheme="minorEastAsia" w:hAnsiTheme="minorEastAsia" w:cstheme="minorEastAsia" w:hint="eastAsia"/>
          <w:sz w:val="24"/>
        </w:rPr>
        <w:t>其次，不断吸收</w:t>
      </w:r>
      <w:r w:rsidR="00D04825" w:rsidRPr="00C354DA">
        <w:rPr>
          <w:rFonts w:asciiTheme="minorEastAsia" w:hAnsiTheme="minorEastAsia" w:cstheme="minorEastAsia" w:hint="eastAsia"/>
          <w:sz w:val="24"/>
        </w:rPr>
        <w:t>和消化引进的先进教育理念和优质的教学资源，全面落实到教学实践中，为高质量的国际化人才培养打下基础；</w:t>
      </w:r>
      <w:r w:rsidRPr="00C354DA">
        <w:rPr>
          <w:rFonts w:asciiTheme="minorEastAsia" w:hAnsiTheme="minorEastAsia" w:cstheme="minorEastAsia" w:hint="eastAsia"/>
          <w:sz w:val="24"/>
        </w:rPr>
        <w:t>最后，希望通过加强</w:t>
      </w:r>
      <w:r w:rsidR="00D04825" w:rsidRPr="00C354DA">
        <w:rPr>
          <w:rFonts w:asciiTheme="minorEastAsia" w:hAnsiTheme="minorEastAsia" w:cstheme="minorEastAsia" w:hint="eastAsia"/>
          <w:sz w:val="24"/>
        </w:rPr>
        <w:t>校际</w:t>
      </w:r>
      <w:r w:rsidRPr="00C354DA">
        <w:rPr>
          <w:rFonts w:asciiTheme="minorEastAsia" w:hAnsiTheme="minorEastAsia" w:cstheme="minorEastAsia" w:hint="eastAsia"/>
          <w:sz w:val="24"/>
        </w:rPr>
        <w:t>沟通和磨合，深化和延长项目合作，为我国培养更多建筑工程领域的国际化人才。</w:t>
      </w:r>
    </w:p>
    <w:p w:rsidR="00852225" w:rsidRPr="00C354DA" w:rsidRDefault="00852225">
      <w:pPr>
        <w:autoSpaceDE w:val="0"/>
        <w:autoSpaceDN w:val="0"/>
        <w:adjustRightInd w:val="0"/>
        <w:spacing w:line="260" w:lineRule="auto"/>
        <w:jc w:val="left"/>
        <w:rPr>
          <w:rFonts w:hAnsi="宋体" w:cs="宋体"/>
          <w:sz w:val="24"/>
        </w:rPr>
      </w:pPr>
    </w:p>
    <w:p w:rsidR="00852225" w:rsidRPr="00C354DA" w:rsidRDefault="00852225">
      <w:pPr>
        <w:autoSpaceDE w:val="0"/>
        <w:autoSpaceDN w:val="0"/>
        <w:adjustRightInd w:val="0"/>
        <w:spacing w:line="260" w:lineRule="auto"/>
        <w:jc w:val="left"/>
        <w:rPr>
          <w:rFonts w:hAnsi="宋体" w:cs="宋体"/>
          <w:sz w:val="24"/>
        </w:rPr>
      </w:pPr>
    </w:p>
    <w:p w:rsidR="00852225" w:rsidRPr="00C354DA" w:rsidRDefault="00852225" w:rsidP="00C354DA">
      <w:pPr>
        <w:snapToGrid w:val="0"/>
        <w:outlineLvl w:val="0"/>
        <w:rPr>
          <w:szCs w:val="21"/>
          <w:highlight w:val="yellow"/>
        </w:rPr>
      </w:pPr>
    </w:p>
    <w:p w:rsidR="00852225" w:rsidRPr="00C354DA" w:rsidRDefault="00852225">
      <w:pPr>
        <w:autoSpaceDE w:val="0"/>
        <w:autoSpaceDN w:val="0"/>
        <w:adjustRightInd w:val="0"/>
        <w:spacing w:line="260" w:lineRule="auto"/>
        <w:jc w:val="left"/>
        <w:rPr>
          <w:rFonts w:ascii="宋体" w:eastAsia="宋体" w:hAnsi="宋体" w:cs="宋体"/>
          <w:sz w:val="18"/>
          <w:szCs w:val="18"/>
          <w:highlight w:val="yellow"/>
        </w:rPr>
      </w:pPr>
    </w:p>
    <w:p w:rsidR="00852225" w:rsidRPr="00C354DA" w:rsidRDefault="002D7AEE">
      <w:pPr>
        <w:autoSpaceDE w:val="0"/>
        <w:autoSpaceDN w:val="0"/>
        <w:adjustRightInd w:val="0"/>
        <w:spacing w:line="260" w:lineRule="auto"/>
        <w:jc w:val="left"/>
        <w:rPr>
          <w:rFonts w:asciiTheme="minorEastAsia" w:hAnsiTheme="minorEastAsia" w:cstheme="minorEastAsia"/>
          <w:sz w:val="28"/>
          <w:szCs w:val="28"/>
        </w:rPr>
      </w:pPr>
      <w:r w:rsidRPr="00C354DA">
        <w:rPr>
          <w:rFonts w:asciiTheme="minorEastAsia" w:hAnsiTheme="minorEastAsia" w:cstheme="minorEastAsia" w:hint="eastAsia"/>
          <w:sz w:val="24"/>
        </w:rPr>
        <w:t xml:space="preserve">                                                   </w:t>
      </w:r>
      <w:bookmarkStart w:id="1" w:name="_GoBack"/>
      <w:bookmarkEnd w:id="1"/>
      <w:r w:rsidR="00EB4900" w:rsidRPr="00C354DA">
        <w:rPr>
          <w:rFonts w:asciiTheme="minorEastAsia" w:hAnsiTheme="minorEastAsia" w:cstheme="minorEastAsia" w:hint="eastAsia"/>
          <w:sz w:val="24"/>
        </w:rPr>
        <w:t xml:space="preserve">  </w:t>
      </w:r>
      <w:r w:rsidR="00E967EA">
        <w:rPr>
          <w:rFonts w:asciiTheme="minorEastAsia" w:hAnsiTheme="minorEastAsia" w:cstheme="minorEastAsia" w:hint="eastAsia"/>
          <w:sz w:val="24"/>
        </w:rPr>
        <w:t xml:space="preserve"> </w:t>
      </w:r>
      <w:r w:rsidR="00EB4900" w:rsidRPr="00C354DA">
        <w:rPr>
          <w:rFonts w:asciiTheme="minorEastAsia" w:hAnsiTheme="minorEastAsia" w:cstheme="minorEastAsia" w:hint="eastAsia"/>
          <w:sz w:val="24"/>
        </w:rPr>
        <w:t xml:space="preserve"> </w:t>
      </w:r>
      <w:r w:rsidRPr="00C354DA">
        <w:rPr>
          <w:rFonts w:asciiTheme="minorEastAsia" w:hAnsiTheme="minorEastAsia" w:cstheme="minorEastAsia" w:hint="eastAsia"/>
          <w:sz w:val="28"/>
          <w:szCs w:val="28"/>
        </w:rPr>
        <w:t>浙江工业大学</w:t>
      </w:r>
    </w:p>
    <w:p w:rsidR="00852225" w:rsidRPr="00C354DA" w:rsidRDefault="002D7AEE">
      <w:pPr>
        <w:autoSpaceDE w:val="0"/>
        <w:autoSpaceDN w:val="0"/>
        <w:adjustRightInd w:val="0"/>
        <w:spacing w:line="260" w:lineRule="auto"/>
        <w:jc w:val="left"/>
        <w:rPr>
          <w:rFonts w:asciiTheme="minorEastAsia" w:hAnsiTheme="minorEastAsia" w:cstheme="minorEastAsia"/>
          <w:sz w:val="28"/>
          <w:szCs w:val="28"/>
        </w:rPr>
      </w:pPr>
      <w:r w:rsidRPr="00C354DA">
        <w:rPr>
          <w:rFonts w:asciiTheme="minorEastAsia" w:hAnsiTheme="minorEastAsia" w:cstheme="minorEastAsia" w:hint="eastAsia"/>
          <w:sz w:val="28"/>
          <w:szCs w:val="28"/>
        </w:rPr>
        <w:t xml:space="preserve">                   </w:t>
      </w:r>
      <w:r w:rsidR="00D04825" w:rsidRPr="00C354DA">
        <w:rPr>
          <w:rFonts w:asciiTheme="minorEastAsia" w:hAnsiTheme="minorEastAsia" w:cstheme="minorEastAsia" w:hint="eastAsia"/>
          <w:sz w:val="28"/>
          <w:szCs w:val="28"/>
        </w:rPr>
        <w:t xml:space="preserve">                            2017</w:t>
      </w:r>
      <w:r w:rsidRPr="00C354DA">
        <w:rPr>
          <w:rFonts w:asciiTheme="minorEastAsia" w:hAnsiTheme="minorEastAsia" w:cstheme="minorEastAsia" w:hint="eastAsia"/>
          <w:sz w:val="28"/>
          <w:szCs w:val="28"/>
        </w:rPr>
        <w:t>年4月7日</w:t>
      </w:r>
    </w:p>
    <w:sectPr w:rsidR="00852225" w:rsidRPr="00C354DA" w:rsidSect="008522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9EE" w:rsidRDefault="007B29EE" w:rsidP="00521A9E">
      <w:r>
        <w:separator/>
      </w:r>
    </w:p>
  </w:endnote>
  <w:endnote w:type="continuationSeparator" w:id="1">
    <w:p w:rsidR="007B29EE" w:rsidRDefault="007B29EE" w:rsidP="00521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9EE" w:rsidRDefault="007B29EE" w:rsidP="00521A9E">
      <w:r>
        <w:separator/>
      </w:r>
    </w:p>
  </w:footnote>
  <w:footnote w:type="continuationSeparator" w:id="1">
    <w:p w:rsidR="007B29EE" w:rsidRDefault="007B29EE" w:rsidP="00521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425" w:hanging="425"/>
      </w:pPr>
      <w:rPr>
        <w:rFonts w:hint="default"/>
      </w:rPr>
    </w:lvl>
    <w:lvl w:ilvl="1">
      <w:start w:val="1"/>
      <w:numFmt w:val="decimal"/>
      <w:lvlText w:val="%1.%2"/>
      <w:lvlJc w:val="left"/>
      <w:pPr>
        <w:ind w:left="992" w:hanging="567"/>
      </w:pPr>
      <w:rPr>
        <w:b w:val="0"/>
        <w:sz w:val="24"/>
        <w:szCs w:val="24"/>
      </w:rPr>
    </w:lvl>
    <w:lvl w:ilvl="2">
      <w:start w:val="1"/>
      <w:numFmt w:val="decimal"/>
      <w:lvlText w:val="%1.%2.%3"/>
      <w:lvlJc w:val="left"/>
      <w:pPr>
        <w:ind w:left="1418" w:hanging="567"/>
      </w:pPr>
      <w:rPr>
        <w:b w:val="0"/>
        <w:sz w:val="24"/>
        <w:szCs w:val="24"/>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4E60F7B"/>
    <w:multiLevelType w:val="multilevel"/>
    <w:tmpl w:val="04E60F7B"/>
    <w:lvl w:ilvl="0">
      <w:start w:val="1"/>
      <w:numFmt w:val="decimal"/>
      <w:suff w:val="nothing"/>
      <w:lvlText w:val="（%1）"/>
      <w:lvlJc w:val="left"/>
      <w:pPr>
        <w:ind w:left="1067" w:hanging="363"/>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21D65698"/>
    <w:multiLevelType w:val="multilevel"/>
    <w:tmpl w:val="944EDD4E"/>
    <w:lvl w:ilvl="0">
      <w:start w:val="2"/>
      <w:numFmt w:val="decimal"/>
      <w:lvlText w:val="%1"/>
      <w:lvlJc w:val="left"/>
      <w:pPr>
        <w:ind w:left="360" w:hanging="360"/>
      </w:pPr>
      <w:rPr>
        <w:rFonts w:hint="default"/>
      </w:rPr>
    </w:lvl>
    <w:lvl w:ilvl="1">
      <w:start w:val="3"/>
      <w:numFmt w:val="decimal"/>
      <w:lvlText w:val="%1.%2"/>
      <w:lvlJc w:val="left"/>
      <w:pPr>
        <w:ind w:left="1424" w:hanging="36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3">
    <w:nsid w:val="56DE5BDB"/>
    <w:multiLevelType w:val="hybridMultilevel"/>
    <w:tmpl w:val="DD48D082"/>
    <w:lvl w:ilvl="0" w:tplc="E0FE0986">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7049FBA"/>
    <w:multiLevelType w:val="singleLevel"/>
    <w:tmpl w:val="57049FBA"/>
    <w:lvl w:ilvl="0">
      <w:start w:val="2"/>
      <w:numFmt w:val="chineseCounting"/>
      <w:suff w:val="nothing"/>
      <w:lvlText w:val="%1、"/>
      <w:lvlJc w:val="left"/>
    </w:lvl>
  </w:abstractNum>
  <w:abstractNum w:abstractNumId="5">
    <w:nsid w:val="5705C482"/>
    <w:multiLevelType w:val="singleLevel"/>
    <w:tmpl w:val="5705C482"/>
    <w:lvl w:ilvl="0">
      <w:start w:val="1"/>
      <w:numFmt w:val="decimal"/>
      <w:suff w:val="nothing"/>
      <w:lvlText w:val="%1．"/>
      <w:lvlJc w:val="left"/>
      <w:pPr>
        <w:ind w:left="0" w:firstLine="400"/>
      </w:pPr>
      <w:rPr>
        <w:rFonts w:hint="default"/>
      </w:rPr>
    </w:lvl>
  </w:abstractNum>
  <w:abstractNum w:abstractNumId="6">
    <w:nsid w:val="5705C53F"/>
    <w:multiLevelType w:val="singleLevel"/>
    <w:tmpl w:val="5705C53F"/>
    <w:lvl w:ilvl="0">
      <w:start w:val="1"/>
      <w:numFmt w:val="decimal"/>
      <w:suff w:val="nothing"/>
      <w:lvlText w:val="%1．"/>
      <w:lvlJc w:val="left"/>
      <w:pPr>
        <w:ind w:left="0" w:firstLine="400"/>
      </w:pPr>
      <w:rPr>
        <w:rFonts w:hint="default"/>
      </w:rPr>
    </w:lvl>
  </w:abstractNum>
  <w:abstractNum w:abstractNumId="7">
    <w:nsid w:val="5705C5D5"/>
    <w:multiLevelType w:val="singleLevel"/>
    <w:tmpl w:val="5705C5D5"/>
    <w:lvl w:ilvl="0">
      <w:start w:val="1"/>
      <w:numFmt w:val="decimal"/>
      <w:suff w:val="nothing"/>
      <w:lvlText w:val="%1．"/>
      <w:lvlJc w:val="left"/>
      <w:pPr>
        <w:ind w:left="0" w:firstLine="400"/>
      </w:pPr>
      <w:rPr>
        <w:rFonts w:hint="default"/>
      </w:rPr>
    </w:lvl>
  </w:abstractNum>
  <w:abstractNum w:abstractNumId="8">
    <w:nsid w:val="5705CBB8"/>
    <w:multiLevelType w:val="singleLevel"/>
    <w:tmpl w:val="5705CBB8"/>
    <w:lvl w:ilvl="0">
      <w:start w:val="1"/>
      <w:numFmt w:val="decimal"/>
      <w:suff w:val="nothing"/>
      <w:lvlText w:val="%1．"/>
      <w:lvlJc w:val="left"/>
      <w:pPr>
        <w:ind w:left="0" w:firstLine="400"/>
      </w:pPr>
      <w:rPr>
        <w:rFonts w:hint="default"/>
      </w:rPr>
    </w:lvl>
  </w:abstractNum>
  <w:abstractNum w:abstractNumId="9">
    <w:nsid w:val="5705CE87"/>
    <w:multiLevelType w:val="singleLevel"/>
    <w:tmpl w:val="5705CE87"/>
    <w:lvl w:ilvl="0">
      <w:start w:val="1"/>
      <w:numFmt w:val="decimal"/>
      <w:suff w:val="nothing"/>
      <w:lvlText w:val="%1．"/>
      <w:lvlJc w:val="left"/>
      <w:pPr>
        <w:ind w:left="0" w:firstLine="400"/>
      </w:pPr>
      <w:rPr>
        <w:rFonts w:hint="default"/>
      </w:rPr>
    </w:lvl>
  </w:abstractNum>
  <w:abstractNum w:abstractNumId="10">
    <w:nsid w:val="5CEE6847"/>
    <w:multiLevelType w:val="multilevel"/>
    <w:tmpl w:val="5CEE6847"/>
    <w:lvl w:ilvl="0">
      <w:start w:val="1"/>
      <w:numFmt w:val="decimal"/>
      <w:suff w:val="nothing"/>
      <w:lvlText w:val="（%1）"/>
      <w:lvlJc w:val="left"/>
      <w:pPr>
        <w:ind w:left="1067" w:hanging="363"/>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1A06338"/>
    <w:multiLevelType w:val="multilevel"/>
    <w:tmpl w:val="60B6A5A8"/>
    <w:lvl w:ilvl="0">
      <w:start w:val="2"/>
      <w:numFmt w:val="decimal"/>
      <w:lvlText w:val="%1"/>
      <w:lvlJc w:val="left"/>
      <w:pPr>
        <w:ind w:left="360" w:hanging="360"/>
      </w:pPr>
      <w:rPr>
        <w:rFonts w:hint="default"/>
        <w:color w:val="auto"/>
      </w:rPr>
    </w:lvl>
    <w:lvl w:ilvl="1">
      <w:start w:val="1"/>
      <w:numFmt w:val="decimal"/>
      <w:lvlText w:val="%1.%2"/>
      <w:lvlJc w:val="left"/>
      <w:pPr>
        <w:ind w:left="1064" w:hanging="360"/>
      </w:pPr>
      <w:rPr>
        <w:rFonts w:hint="default"/>
        <w:color w:val="auto"/>
      </w:rPr>
    </w:lvl>
    <w:lvl w:ilvl="2">
      <w:start w:val="1"/>
      <w:numFmt w:val="decimal"/>
      <w:lvlText w:val="%1.%2.%3"/>
      <w:lvlJc w:val="left"/>
      <w:pPr>
        <w:ind w:left="2128" w:hanging="720"/>
      </w:pPr>
      <w:rPr>
        <w:rFonts w:hint="default"/>
        <w:color w:val="auto"/>
      </w:rPr>
    </w:lvl>
    <w:lvl w:ilvl="3">
      <w:start w:val="1"/>
      <w:numFmt w:val="decimal"/>
      <w:lvlText w:val="%1.%2.%3.%4"/>
      <w:lvlJc w:val="left"/>
      <w:pPr>
        <w:ind w:left="3192" w:hanging="1080"/>
      </w:pPr>
      <w:rPr>
        <w:rFonts w:hint="default"/>
        <w:color w:val="auto"/>
      </w:rPr>
    </w:lvl>
    <w:lvl w:ilvl="4">
      <w:start w:val="1"/>
      <w:numFmt w:val="decimal"/>
      <w:lvlText w:val="%1.%2.%3.%4.%5"/>
      <w:lvlJc w:val="left"/>
      <w:pPr>
        <w:ind w:left="3896" w:hanging="1080"/>
      </w:pPr>
      <w:rPr>
        <w:rFonts w:hint="default"/>
        <w:color w:val="auto"/>
      </w:rPr>
    </w:lvl>
    <w:lvl w:ilvl="5">
      <w:start w:val="1"/>
      <w:numFmt w:val="decimal"/>
      <w:lvlText w:val="%1.%2.%3.%4.%5.%6"/>
      <w:lvlJc w:val="left"/>
      <w:pPr>
        <w:ind w:left="4960" w:hanging="1440"/>
      </w:pPr>
      <w:rPr>
        <w:rFonts w:hint="default"/>
        <w:color w:val="auto"/>
      </w:rPr>
    </w:lvl>
    <w:lvl w:ilvl="6">
      <w:start w:val="1"/>
      <w:numFmt w:val="decimal"/>
      <w:lvlText w:val="%1.%2.%3.%4.%5.%6.%7"/>
      <w:lvlJc w:val="left"/>
      <w:pPr>
        <w:ind w:left="6024" w:hanging="1800"/>
      </w:pPr>
      <w:rPr>
        <w:rFonts w:hint="default"/>
        <w:color w:val="auto"/>
      </w:rPr>
    </w:lvl>
    <w:lvl w:ilvl="7">
      <w:start w:val="1"/>
      <w:numFmt w:val="decimal"/>
      <w:lvlText w:val="%1.%2.%3.%4.%5.%6.%7.%8"/>
      <w:lvlJc w:val="left"/>
      <w:pPr>
        <w:ind w:left="6728" w:hanging="1800"/>
      </w:pPr>
      <w:rPr>
        <w:rFonts w:hint="default"/>
        <w:color w:val="auto"/>
      </w:rPr>
    </w:lvl>
    <w:lvl w:ilvl="8">
      <w:start w:val="1"/>
      <w:numFmt w:val="decimal"/>
      <w:lvlText w:val="%1.%2.%3.%4.%5.%6.%7.%8.%9"/>
      <w:lvlJc w:val="left"/>
      <w:pPr>
        <w:ind w:left="7792" w:hanging="2160"/>
      </w:pPr>
      <w:rPr>
        <w:rFonts w:hint="default"/>
        <w:color w:val="auto"/>
      </w:rPr>
    </w:lvl>
  </w:abstractNum>
  <w:num w:numId="1">
    <w:abstractNumId w:val="4"/>
  </w:num>
  <w:num w:numId="2">
    <w:abstractNumId w:val="1"/>
  </w:num>
  <w:num w:numId="3">
    <w:abstractNumId w:val="5"/>
  </w:num>
  <w:num w:numId="4">
    <w:abstractNumId w:val="6"/>
  </w:num>
  <w:num w:numId="5">
    <w:abstractNumId w:val="7"/>
  </w:num>
  <w:num w:numId="6">
    <w:abstractNumId w:val="8"/>
  </w:num>
  <w:num w:numId="7">
    <w:abstractNumId w:val="9"/>
  </w:num>
  <w:num w:numId="8">
    <w:abstractNumId w:val="10"/>
  </w:num>
  <w:num w:numId="9">
    <w:abstractNumId w:val="0"/>
  </w:num>
  <w:num w:numId="10">
    <w:abstractNumId w:val="3"/>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C9670B3"/>
    <w:rsid w:val="00012B70"/>
    <w:rsid w:val="00091154"/>
    <w:rsid w:val="00102D54"/>
    <w:rsid w:val="00147D40"/>
    <w:rsid w:val="00157617"/>
    <w:rsid w:val="00185FF1"/>
    <w:rsid w:val="00212AAA"/>
    <w:rsid w:val="00234E21"/>
    <w:rsid w:val="00295FE0"/>
    <w:rsid w:val="002A7EE7"/>
    <w:rsid w:val="002D7AEE"/>
    <w:rsid w:val="00310CA8"/>
    <w:rsid w:val="00327777"/>
    <w:rsid w:val="00436C71"/>
    <w:rsid w:val="00521A9E"/>
    <w:rsid w:val="00554C8B"/>
    <w:rsid w:val="005717F2"/>
    <w:rsid w:val="005A3D8B"/>
    <w:rsid w:val="005B55DC"/>
    <w:rsid w:val="006152C2"/>
    <w:rsid w:val="00625CAB"/>
    <w:rsid w:val="00674EDF"/>
    <w:rsid w:val="00692F65"/>
    <w:rsid w:val="007152A0"/>
    <w:rsid w:val="007B29EE"/>
    <w:rsid w:val="007C32C7"/>
    <w:rsid w:val="00852225"/>
    <w:rsid w:val="0089637E"/>
    <w:rsid w:val="009034F5"/>
    <w:rsid w:val="00AD424F"/>
    <w:rsid w:val="00B03707"/>
    <w:rsid w:val="00B16D85"/>
    <w:rsid w:val="00B20717"/>
    <w:rsid w:val="00B437A4"/>
    <w:rsid w:val="00B513A2"/>
    <w:rsid w:val="00B83682"/>
    <w:rsid w:val="00BA14B9"/>
    <w:rsid w:val="00BD3ADE"/>
    <w:rsid w:val="00BE02A3"/>
    <w:rsid w:val="00C354DA"/>
    <w:rsid w:val="00C45F11"/>
    <w:rsid w:val="00C56E1B"/>
    <w:rsid w:val="00D04825"/>
    <w:rsid w:val="00D84A06"/>
    <w:rsid w:val="00DE6D15"/>
    <w:rsid w:val="00E30762"/>
    <w:rsid w:val="00E86424"/>
    <w:rsid w:val="00E967EA"/>
    <w:rsid w:val="00EB4900"/>
    <w:rsid w:val="00F36311"/>
    <w:rsid w:val="00F44DBE"/>
    <w:rsid w:val="00F64724"/>
    <w:rsid w:val="019F5E4C"/>
    <w:rsid w:val="027143EE"/>
    <w:rsid w:val="07F739B4"/>
    <w:rsid w:val="099641D3"/>
    <w:rsid w:val="0A520EB9"/>
    <w:rsid w:val="0B6101A6"/>
    <w:rsid w:val="0B90298F"/>
    <w:rsid w:val="0C0B3AAF"/>
    <w:rsid w:val="0EB7499A"/>
    <w:rsid w:val="0F1E23B5"/>
    <w:rsid w:val="0F735C4C"/>
    <w:rsid w:val="105456FA"/>
    <w:rsid w:val="109E24BE"/>
    <w:rsid w:val="114E3AEA"/>
    <w:rsid w:val="11D02BC0"/>
    <w:rsid w:val="12B5676E"/>
    <w:rsid w:val="12B713E6"/>
    <w:rsid w:val="178B6905"/>
    <w:rsid w:val="187F464F"/>
    <w:rsid w:val="1A5C361C"/>
    <w:rsid w:val="1A867538"/>
    <w:rsid w:val="1AA20A7C"/>
    <w:rsid w:val="1AE3156A"/>
    <w:rsid w:val="1B7968CB"/>
    <w:rsid w:val="1C0D0C51"/>
    <w:rsid w:val="1C7740A7"/>
    <w:rsid w:val="1D765182"/>
    <w:rsid w:val="1DF0748B"/>
    <w:rsid w:val="2108040B"/>
    <w:rsid w:val="221468AE"/>
    <w:rsid w:val="24AF2611"/>
    <w:rsid w:val="24FB7174"/>
    <w:rsid w:val="26A24B84"/>
    <w:rsid w:val="26C22BB7"/>
    <w:rsid w:val="274F0C2A"/>
    <w:rsid w:val="28B55D8B"/>
    <w:rsid w:val="28D960A5"/>
    <w:rsid w:val="29653AE3"/>
    <w:rsid w:val="2C132502"/>
    <w:rsid w:val="2C4D4BD9"/>
    <w:rsid w:val="2C6B48C4"/>
    <w:rsid w:val="2CC7236E"/>
    <w:rsid w:val="2CF66C54"/>
    <w:rsid w:val="2D8D1714"/>
    <w:rsid w:val="2F594891"/>
    <w:rsid w:val="32F01530"/>
    <w:rsid w:val="357452A6"/>
    <w:rsid w:val="37050608"/>
    <w:rsid w:val="3716094F"/>
    <w:rsid w:val="37A24D8A"/>
    <w:rsid w:val="38233FBB"/>
    <w:rsid w:val="38500E61"/>
    <w:rsid w:val="3AAC5168"/>
    <w:rsid w:val="3BD62733"/>
    <w:rsid w:val="3C8176F4"/>
    <w:rsid w:val="3C9670B3"/>
    <w:rsid w:val="3CA55436"/>
    <w:rsid w:val="3D3B250F"/>
    <w:rsid w:val="3D502CE2"/>
    <w:rsid w:val="403A16DF"/>
    <w:rsid w:val="40566064"/>
    <w:rsid w:val="40B750E3"/>
    <w:rsid w:val="41066CA3"/>
    <w:rsid w:val="41A872D6"/>
    <w:rsid w:val="41EF3846"/>
    <w:rsid w:val="42214183"/>
    <w:rsid w:val="44613198"/>
    <w:rsid w:val="44EC4551"/>
    <w:rsid w:val="451D3DF4"/>
    <w:rsid w:val="46A7322E"/>
    <w:rsid w:val="47250EE8"/>
    <w:rsid w:val="472D6082"/>
    <w:rsid w:val="477E3CF1"/>
    <w:rsid w:val="4A2C1811"/>
    <w:rsid w:val="4AA02AF3"/>
    <w:rsid w:val="4AC11F3F"/>
    <w:rsid w:val="4BF53D69"/>
    <w:rsid w:val="4D32159F"/>
    <w:rsid w:val="4F591868"/>
    <w:rsid w:val="4F612D0A"/>
    <w:rsid w:val="4FD712EF"/>
    <w:rsid w:val="500E17F4"/>
    <w:rsid w:val="502E14D2"/>
    <w:rsid w:val="50640344"/>
    <w:rsid w:val="50716C66"/>
    <w:rsid w:val="541E28DA"/>
    <w:rsid w:val="54F50104"/>
    <w:rsid w:val="556D184A"/>
    <w:rsid w:val="55C706A4"/>
    <w:rsid w:val="58121C2F"/>
    <w:rsid w:val="59271660"/>
    <w:rsid w:val="5BA82037"/>
    <w:rsid w:val="5C8928DB"/>
    <w:rsid w:val="5CBD54AA"/>
    <w:rsid w:val="5CC020C8"/>
    <w:rsid w:val="5D6D073E"/>
    <w:rsid w:val="5E253242"/>
    <w:rsid w:val="5F710277"/>
    <w:rsid w:val="5F7E5121"/>
    <w:rsid w:val="61427AC1"/>
    <w:rsid w:val="61913D08"/>
    <w:rsid w:val="61C766C8"/>
    <w:rsid w:val="622149BE"/>
    <w:rsid w:val="625D287A"/>
    <w:rsid w:val="63103165"/>
    <w:rsid w:val="64485CC9"/>
    <w:rsid w:val="648C49D9"/>
    <w:rsid w:val="64BE5784"/>
    <w:rsid w:val="656800A8"/>
    <w:rsid w:val="65D87E51"/>
    <w:rsid w:val="66275C8F"/>
    <w:rsid w:val="687767AB"/>
    <w:rsid w:val="68A82E34"/>
    <w:rsid w:val="6A7301B0"/>
    <w:rsid w:val="6A9337CF"/>
    <w:rsid w:val="6AE4171F"/>
    <w:rsid w:val="6AEF2E4E"/>
    <w:rsid w:val="6B97764C"/>
    <w:rsid w:val="6BB879C3"/>
    <w:rsid w:val="6BD6560E"/>
    <w:rsid w:val="6DE03A1D"/>
    <w:rsid w:val="6E595110"/>
    <w:rsid w:val="6FC516CB"/>
    <w:rsid w:val="70601F68"/>
    <w:rsid w:val="70786F2C"/>
    <w:rsid w:val="717373E2"/>
    <w:rsid w:val="71C51703"/>
    <w:rsid w:val="726D74C7"/>
    <w:rsid w:val="74175C5C"/>
    <w:rsid w:val="74A661AE"/>
    <w:rsid w:val="74EF36BB"/>
    <w:rsid w:val="75D60D15"/>
    <w:rsid w:val="76227876"/>
    <w:rsid w:val="765E65F3"/>
    <w:rsid w:val="76F414B6"/>
    <w:rsid w:val="77146BD5"/>
    <w:rsid w:val="772C4C0F"/>
    <w:rsid w:val="778620D1"/>
    <w:rsid w:val="788A42BD"/>
    <w:rsid w:val="79641F45"/>
    <w:rsid w:val="79B82504"/>
    <w:rsid w:val="79B8442A"/>
    <w:rsid w:val="79DB0B82"/>
    <w:rsid w:val="7A485FC2"/>
    <w:rsid w:val="7BC35587"/>
    <w:rsid w:val="7CD37EF6"/>
    <w:rsid w:val="7D5437DC"/>
    <w:rsid w:val="7E544630"/>
    <w:rsid w:val="7ED278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22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852225"/>
    <w:pPr>
      <w:snapToGrid w:val="0"/>
      <w:spacing w:line="240" w:lineRule="atLeast"/>
      <w:ind w:firstLineChars="200" w:firstLine="480"/>
    </w:pPr>
    <w:rPr>
      <w:rFonts w:ascii="宋体" w:eastAsia="宋体" w:hAnsi="宋体"/>
      <w:sz w:val="24"/>
    </w:rPr>
  </w:style>
  <w:style w:type="paragraph" w:styleId="a3">
    <w:name w:val="header"/>
    <w:basedOn w:val="a"/>
    <w:link w:val="Char"/>
    <w:rsid w:val="00521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1A9E"/>
    <w:rPr>
      <w:rFonts w:asciiTheme="minorHAnsi" w:eastAsiaTheme="minorEastAsia" w:hAnsiTheme="minorHAnsi" w:cstheme="minorBidi"/>
      <w:kern w:val="2"/>
      <w:sz w:val="18"/>
      <w:szCs w:val="18"/>
    </w:rPr>
  </w:style>
  <w:style w:type="paragraph" w:styleId="a4">
    <w:name w:val="footer"/>
    <w:basedOn w:val="a"/>
    <w:link w:val="Char0"/>
    <w:rsid w:val="00521A9E"/>
    <w:pPr>
      <w:tabs>
        <w:tab w:val="center" w:pos="4153"/>
        <w:tab w:val="right" w:pos="8306"/>
      </w:tabs>
      <w:snapToGrid w:val="0"/>
      <w:jc w:val="left"/>
    </w:pPr>
    <w:rPr>
      <w:sz w:val="18"/>
      <w:szCs w:val="18"/>
    </w:rPr>
  </w:style>
  <w:style w:type="character" w:customStyle="1" w:styleId="Char0">
    <w:name w:val="页脚 Char"/>
    <w:basedOn w:val="a0"/>
    <w:link w:val="a4"/>
    <w:rsid w:val="00521A9E"/>
    <w:rPr>
      <w:rFonts w:asciiTheme="minorHAnsi" w:eastAsiaTheme="minorEastAsia" w:hAnsiTheme="minorHAnsi" w:cstheme="minorBidi"/>
      <w:kern w:val="2"/>
      <w:sz w:val="18"/>
      <w:szCs w:val="18"/>
    </w:rPr>
  </w:style>
  <w:style w:type="paragraph" w:customStyle="1" w:styleId="ListParagraph1">
    <w:name w:val="List Paragraph1"/>
    <w:basedOn w:val="a"/>
    <w:rsid w:val="00F36311"/>
    <w:pPr>
      <w:ind w:firstLineChars="200" w:firstLine="420"/>
    </w:pPr>
    <w:rPr>
      <w:rFonts w:ascii="Times New Roman" w:eastAsia="宋体" w:hAnsi="Times New Roman" w:cs="Times New Roman"/>
    </w:rPr>
  </w:style>
  <w:style w:type="paragraph" w:styleId="a5">
    <w:name w:val="List Paragraph"/>
    <w:basedOn w:val="a"/>
    <w:uiPriority w:val="99"/>
    <w:unhideWhenUsed/>
    <w:rsid w:val="00F36311"/>
    <w:pPr>
      <w:ind w:firstLineChars="200" w:firstLine="420"/>
    </w:pPr>
  </w:style>
  <w:style w:type="paragraph" w:styleId="a6">
    <w:name w:val="Balloon Text"/>
    <w:basedOn w:val="a"/>
    <w:link w:val="Char1"/>
    <w:rsid w:val="00147D40"/>
    <w:rPr>
      <w:sz w:val="18"/>
      <w:szCs w:val="18"/>
    </w:rPr>
  </w:style>
  <w:style w:type="character" w:customStyle="1" w:styleId="Char1">
    <w:name w:val="批注框文本 Char"/>
    <w:basedOn w:val="a0"/>
    <w:link w:val="a6"/>
    <w:rsid w:val="00147D4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1344</Words>
  <Characters>1439</Characters>
  <Application>Microsoft Office Word</Application>
  <DocSecurity>0</DocSecurity>
  <Lines>62</Lines>
  <Paragraphs>53</Paragraphs>
  <ScaleCrop>false</ScaleCrop>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顾儆</cp:lastModifiedBy>
  <cp:revision>52</cp:revision>
  <dcterms:created xsi:type="dcterms:W3CDTF">2016-04-06T02:15:00Z</dcterms:created>
  <dcterms:modified xsi:type="dcterms:W3CDTF">2017-04-07T04:48:00Z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